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658C3642"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100</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Pr>
          <w:rFonts w:cs="Arial"/>
          <w:b/>
          <w:sz w:val="24"/>
          <w:szCs w:val="24"/>
        </w:rPr>
        <w:t>1</w:t>
      </w:r>
      <w:r w:rsidR="0025554B">
        <w:rPr>
          <w:rFonts w:cs="Arial"/>
          <w:b/>
          <w:sz w:val="24"/>
          <w:szCs w:val="24"/>
        </w:rPr>
        <w:t>12301</w:t>
      </w:r>
    </w:p>
    <w:p w14:paraId="31DCE6A5" w14:textId="22F76B70"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64260A">
        <w:rPr>
          <w:b/>
          <w:sz w:val="24"/>
          <w:szCs w:val="24"/>
          <w:lang w:eastAsia="zh-CN"/>
        </w:rPr>
        <w:t>Aug</w:t>
      </w:r>
      <w:r>
        <w:rPr>
          <w:b/>
          <w:sz w:val="24"/>
          <w:szCs w:val="24"/>
          <w:lang w:eastAsia="zh-CN"/>
        </w:rPr>
        <w:t>.</w:t>
      </w:r>
      <w:r w:rsidR="0051762E">
        <w:rPr>
          <w:b/>
          <w:sz w:val="24"/>
          <w:szCs w:val="24"/>
          <w:lang w:eastAsia="zh-CN"/>
        </w:rPr>
        <w:t xml:space="preserve"> 1</w:t>
      </w:r>
      <w:r w:rsidR="00B06282">
        <w:rPr>
          <w:b/>
          <w:sz w:val="24"/>
          <w:szCs w:val="24"/>
          <w:lang w:eastAsia="zh-CN"/>
        </w:rPr>
        <w:t>9</w:t>
      </w:r>
      <w:r w:rsidRPr="00BF1228">
        <w:rPr>
          <w:b/>
          <w:sz w:val="24"/>
          <w:szCs w:val="24"/>
          <w:lang w:eastAsia="zh-CN"/>
        </w:rPr>
        <w:t>-</w:t>
      </w:r>
      <w:r w:rsidR="0051762E">
        <w:rPr>
          <w:b/>
          <w:sz w:val="24"/>
          <w:szCs w:val="24"/>
          <w:lang w:eastAsia="zh-CN"/>
        </w:rPr>
        <w:t>2</w:t>
      </w:r>
      <w:r w:rsidR="00B06282">
        <w:rPr>
          <w:b/>
          <w:sz w:val="24"/>
          <w:szCs w:val="24"/>
          <w:lang w:eastAsia="zh-CN"/>
        </w:rPr>
        <w:t>7</w:t>
      </w:r>
      <w:r w:rsidRPr="00BF1228">
        <w:rPr>
          <w:b/>
          <w:sz w:val="24"/>
          <w:szCs w:val="24"/>
          <w:lang w:eastAsia="zh-CN"/>
        </w:rPr>
        <w:t>, 202</w:t>
      </w:r>
      <w:r>
        <w:rPr>
          <w:b/>
          <w:sz w:val="24"/>
          <w:szCs w:val="24"/>
          <w:lang w:eastAsia="zh-CN"/>
        </w:rPr>
        <w:t>1</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4D2D478D"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00258E" w:rsidRPr="0000258E">
        <w:rPr>
          <w:rFonts w:cs="Arial"/>
          <w:sz w:val="22"/>
        </w:rPr>
        <w:t xml:space="preserve">NRU 100MHz SEM mask </w:t>
      </w:r>
      <w:r w:rsidR="00272B66">
        <w:rPr>
          <w:rFonts w:cs="Arial"/>
          <w:sz w:val="22"/>
        </w:rPr>
        <w:t>including</w:t>
      </w:r>
      <w:r w:rsidR="0000258E" w:rsidRPr="0000258E">
        <w:rPr>
          <w:rFonts w:cs="Arial"/>
          <w:sz w:val="22"/>
        </w:rPr>
        <w:t xml:space="preserve"> wideband operation</w:t>
      </w:r>
    </w:p>
    <w:p w14:paraId="73BCD5A1" w14:textId="56549154" w:rsidR="0074607D" w:rsidRDefault="00675C27" w:rsidP="0064260A">
      <w:pPr>
        <w:spacing w:after="0"/>
        <w:ind w:left="1985" w:hanging="1985"/>
        <w:rPr>
          <w:rFonts w:ascii="Arial" w:eastAsia="SimSun" w:hAnsi="Arial" w:cs="Arial"/>
          <w:sz w:val="22"/>
          <w:lang w:eastAsia="zh-CN"/>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64260A" w:rsidRPr="0064260A">
        <w:rPr>
          <w:rFonts w:ascii="Arial" w:hAnsi="Arial" w:cs="Arial"/>
          <w:sz w:val="22"/>
        </w:rPr>
        <w:t>8.26.2.2 NR-U 100MHz bandwidth [NR_bands_R17_BWs -Core]</w:t>
      </w:r>
    </w:p>
    <w:p w14:paraId="2E5C6AEA" w14:textId="0D721930" w:rsidR="00675C27" w:rsidRPr="00A62DA7" w:rsidRDefault="00675C27" w:rsidP="00D3489B">
      <w:pPr>
        <w:ind w:left="1985" w:hanging="1985"/>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B06282">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3A42D5BE" w:rsidR="00577141" w:rsidRDefault="009A30BB" w:rsidP="00577141">
      <w:pPr>
        <w:overflowPunct/>
        <w:autoSpaceDE/>
        <w:autoSpaceDN/>
        <w:adjustRightInd/>
        <w:spacing w:after="0"/>
        <w:jc w:val="both"/>
        <w:textAlignment w:val="auto"/>
        <w:rPr>
          <w:rFonts w:eastAsia="SimSun"/>
          <w:lang w:eastAsia="zh-CN"/>
        </w:rPr>
      </w:pPr>
      <w:r>
        <w:rPr>
          <w:rFonts w:eastAsia="SimSun"/>
          <w:lang w:eastAsia="zh-CN"/>
        </w:rPr>
        <w:t xml:space="preserve">In </w:t>
      </w:r>
      <w:r w:rsidR="00C755ED">
        <w:rPr>
          <w:rFonts w:eastAsia="SimSun"/>
          <w:lang w:eastAsia="zh-CN"/>
        </w:rPr>
        <w:t xml:space="preserve">the </w:t>
      </w:r>
      <w:r>
        <w:rPr>
          <w:rFonts w:eastAsia="SimSun"/>
          <w:lang w:eastAsia="zh-CN"/>
        </w:rPr>
        <w:t>RAN</w:t>
      </w:r>
      <w:r w:rsidR="00154E81">
        <w:rPr>
          <w:rFonts w:eastAsia="SimSun"/>
          <w:lang w:eastAsia="zh-CN"/>
        </w:rPr>
        <w:t>#</w:t>
      </w:r>
      <w:r w:rsidR="00B12325">
        <w:rPr>
          <w:rFonts w:eastAsia="SimSun"/>
          <w:lang w:eastAsia="zh-CN"/>
        </w:rPr>
        <w:t>92</w:t>
      </w:r>
      <w:r w:rsidR="00CA73B9">
        <w:rPr>
          <w:rFonts w:eastAsia="SimSun"/>
          <w:lang w:eastAsia="zh-CN"/>
        </w:rPr>
        <w:t xml:space="preserve"> </w:t>
      </w:r>
      <w:r w:rsidR="00CC7830">
        <w:rPr>
          <w:rFonts w:eastAsia="SimSun"/>
          <w:lang w:eastAsia="zh-CN"/>
        </w:rPr>
        <w:t>e</w:t>
      </w:r>
      <w:r w:rsidR="00CA73B9">
        <w:rPr>
          <w:rFonts w:eastAsia="SimSun"/>
          <w:lang w:eastAsia="zh-CN"/>
        </w:rPr>
        <w:t>-</w:t>
      </w:r>
      <w:r w:rsidR="003653A6">
        <w:rPr>
          <w:rFonts w:eastAsia="SimSun"/>
          <w:lang w:eastAsia="zh-CN"/>
        </w:rPr>
        <w:t>meeting</w:t>
      </w:r>
      <w:r w:rsidR="00D10B92">
        <w:rPr>
          <w:rFonts w:eastAsia="SimSun"/>
          <w:lang w:eastAsia="zh-CN"/>
        </w:rPr>
        <w:t xml:space="preserve">, </w:t>
      </w:r>
      <w:r w:rsidR="00B12325">
        <w:rPr>
          <w:rFonts w:eastAsia="SimSun"/>
          <w:lang w:eastAsia="zh-CN"/>
        </w:rPr>
        <w:t>it was decided to conduct the agree</w:t>
      </w:r>
      <w:r w:rsidR="00B22737">
        <w:rPr>
          <w:rFonts w:eastAsia="SimSun"/>
          <w:lang w:eastAsia="zh-CN"/>
        </w:rPr>
        <w:t>d</w:t>
      </w:r>
      <w:r w:rsidR="00B027DC">
        <w:rPr>
          <w:rFonts w:eastAsia="SimSun"/>
          <w:lang w:eastAsia="zh-CN"/>
        </w:rPr>
        <w:t>-</w:t>
      </w:r>
      <w:r w:rsidR="00B22737">
        <w:rPr>
          <w:rFonts w:eastAsia="SimSun"/>
          <w:lang w:eastAsia="zh-CN"/>
        </w:rPr>
        <w:t>upon</w:t>
      </w:r>
      <w:r w:rsidR="00B12325">
        <w:rPr>
          <w:rFonts w:eastAsia="SimSun"/>
          <w:lang w:eastAsia="zh-CN"/>
        </w:rPr>
        <w:t xml:space="preserve"> addition of 100MHz channel bandwidth </w:t>
      </w:r>
      <w:r w:rsidR="00272B66">
        <w:rPr>
          <w:rFonts w:eastAsia="SimSun"/>
          <w:lang w:eastAsia="zh-CN"/>
        </w:rPr>
        <w:t xml:space="preserve">to NR-U </w:t>
      </w:r>
      <w:r w:rsidR="00B12325">
        <w:rPr>
          <w:rFonts w:eastAsia="SimSun"/>
          <w:lang w:eastAsia="zh-CN"/>
        </w:rPr>
        <w:t xml:space="preserve">under the basket WI </w:t>
      </w:r>
      <w:r w:rsidR="00B12325" w:rsidRPr="00B12325">
        <w:rPr>
          <w:rFonts w:eastAsia="SimSun"/>
          <w:lang w:eastAsia="zh-CN"/>
        </w:rPr>
        <w:t>adding channel bandwidth support to existing NR bands</w:t>
      </w:r>
      <w:r w:rsidR="00B12325">
        <w:rPr>
          <w:rFonts w:eastAsia="SimSun"/>
          <w:lang w:eastAsia="zh-CN"/>
        </w:rPr>
        <w:t xml:space="preserve"> [1]</w:t>
      </w:r>
      <w:r w:rsidR="00304BC5">
        <w:rPr>
          <w:rFonts w:eastAsia="SimSun"/>
          <w:lang w:eastAsia="zh-CN"/>
        </w:rPr>
        <w:t>.</w:t>
      </w:r>
      <w:r w:rsidR="00B12325">
        <w:rPr>
          <w:rFonts w:eastAsia="SimSun"/>
          <w:lang w:eastAsia="zh-CN"/>
        </w:rPr>
        <w:t xml:space="preserve"> </w:t>
      </w:r>
      <w:bookmarkStart w:id="2" w:name="_GoBack"/>
      <w:bookmarkEnd w:id="2"/>
      <w:r w:rsidR="00B12325">
        <w:rPr>
          <w:rFonts w:eastAsia="SimSun"/>
          <w:lang w:eastAsia="zh-CN"/>
        </w:rPr>
        <w:t>In this contribution</w:t>
      </w:r>
      <w:r w:rsidR="00272B66">
        <w:rPr>
          <w:rFonts w:eastAsia="SimSun"/>
          <w:lang w:eastAsia="zh-CN"/>
        </w:rPr>
        <w:t>,</w:t>
      </w:r>
      <w:r w:rsidR="00B12325">
        <w:rPr>
          <w:rFonts w:eastAsia="SimSun"/>
          <w:lang w:eastAsia="zh-CN"/>
        </w:rPr>
        <w:t xml:space="preserve"> we discuss </w:t>
      </w:r>
      <w:r w:rsidR="0000258E">
        <w:rPr>
          <w:rFonts w:eastAsia="SimSun"/>
          <w:lang w:eastAsia="zh-CN"/>
        </w:rPr>
        <w:t>how to derive the</w:t>
      </w:r>
      <w:r w:rsidR="0000258E" w:rsidRPr="0000258E">
        <w:rPr>
          <w:rFonts w:eastAsia="SimSun"/>
          <w:lang w:eastAsia="zh-CN"/>
        </w:rPr>
        <w:t xml:space="preserve"> SEM mask for wideband operation</w:t>
      </w:r>
      <w:r w:rsidR="0000258E">
        <w:rPr>
          <w:rFonts w:eastAsia="SimSun"/>
          <w:lang w:eastAsia="zh-CN"/>
        </w:rPr>
        <w:t xml:space="preserve"> for 100MHz channels</w:t>
      </w:r>
      <w:r w:rsidR="00272B66">
        <w:rPr>
          <w:rFonts w:eastAsia="SimSun"/>
          <w:lang w:eastAsia="zh-CN"/>
        </w:rPr>
        <w:t xml:space="preserve"> which has already been discussed in [2]</w:t>
      </w:r>
      <w:r w:rsidR="0000258E">
        <w:rPr>
          <w:rFonts w:eastAsia="SimSun"/>
          <w:lang w:eastAsia="zh-CN"/>
        </w:rPr>
        <w:t>.</w:t>
      </w:r>
    </w:p>
    <w:p w14:paraId="6897732D" w14:textId="4267D0F2" w:rsidR="00F74B3A" w:rsidRDefault="00853ECB" w:rsidP="00F74B3A">
      <w:pPr>
        <w:pStyle w:val="Heading1"/>
        <w:jc w:val="both"/>
        <w:rPr>
          <w:rFonts w:eastAsia="SimSun"/>
          <w:lang w:eastAsia="zh-CN"/>
        </w:rPr>
      </w:pPr>
      <w:r>
        <w:rPr>
          <w:rFonts w:eastAsia="SimSun" w:hint="eastAsia"/>
          <w:lang w:eastAsia="zh-CN"/>
        </w:rPr>
        <w:t>Discussion</w:t>
      </w:r>
    </w:p>
    <w:p w14:paraId="31BF11AE" w14:textId="6E7C14F6" w:rsidR="00B1655E" w:rsidRPr="00A808BC" w:rsidRDefault="00B722B4" w:rsidP="00B1655E">
      <w:pPr>
        <w:pStyle w:val="Heading2"/>
        <w:spacing w:after="240"/>
        <w:rPr>
          <w:lang w:eastAsia="zh-CN"/>
        </w:rPr>
      </w:pPr>
      <w:r>
        <w:rPr>
          <w:lang w:eastAsia="zh-CN"/>
        </w:rPr>
        <w:t>Fully allocated 100MHz channel SEM</w:t>
      </w:r>
    </w:p>
    <w:p w14:paraId="322687C8" w14:textId="1F63D08C" w:rsidR="0038471B" w:rsidRDefault="00B722B4" w:rsidP="0038471B">
      <w:pPr>
        <w:rPr>
          <w:lang w:val="en-GB"/>
        </w:rPr>
      </w:pPr>
      <w:r>
        <w:rPr>
          <w:lang w:eastAsia="zh-CN"/>
        </w:rPr>
        <w:t xml:space="preserve">For fully allocated 100MHz channels the agreed behavior for 20, 40, 60 and 80MHz channels can be easily extended to cover </w:t>
      </w:r>
      <w:r w:rsidR="009F282F">
        <w:rPr>
          <w:lang w:eastAsia="zh-CN"/>
        </w:rPr>
        <w:t>100MHz</w:t>
      </w:r>
      <w:r>
        <w:rPr>
          <w:lang w:eastAsia="zh-CN"/>
        </w:rPr>
        <w:t xml:space="preserve"> as the </w:t>
      </w:r>
      <w:r w:rsidR="009F282F">
        <w:rPr>
          <w:lang w:eastAsia="zh-CN"/>
        </w:rPr>
        <w:t>different regions and their slope are directly linked to the channel bandwidth. Since the different slopes are already equation based</w:t>
      </w:r>
      <w:r w:rsidR="00553B58">
        <w:rPr>
          <w:lang w:eastAsia="zh-CN"/>
        </w:rPr>
        <w:t xml:space="preserve"> in </w:t>
      </w:r>
      <w:r w:rsidR="0038471B">
        <w:rPr>
          <w:lang w:val="en-GB"/>
        </w:rPr>
        <w:t>Table 6.5F.2.2-1 in 38.101-1</w:t>
      </w:r>
      <w:r w:rsidR="00553B58">
        <w:rPr>
          <w:lang w:val="en-GB"/>
        </w:rPr>
        <w:t>, it</w:t>
      </w:r>
      <w:r w:rsidR="0038471B">
        <w:rPr>
          <w:lang w:val="en-GB"/>
        </w:rPr>
        <w:t xml:space="preserve"> could be</w:t>
      </w:r>
      <w:r w:rsidR="00553B58">
        <w:rPr>
          <w:lang w:val="en-GB"/>
        </w:rPr>
        <w:t xml:space="preserve"> made valid for 100MHz channel bandwidth and</w:t>
      </w:r>
      <w:r w:rsidR="0038471B">
        <w:rPr>
          <w:lang w:val="en-GB"/>
        </w:rPr>
        <w:t xml:space="preserve"> further simplified into:</w:t>
      </w:r>
    </w:p>
    <w:p w14:paraId="14195A31" w14:textId="69135B4E" w:rsidR="0038471B" w:rsidRPr="0038471B" w:rsidRDefault="0038471B" w:rsidP="0038471B">
      <w:pPr>
        <w:pStyle w:val="TH"/>
      </w:pPr>
      <w:r>
        <w:t>Table 6.5F.2.2-1: Spectrum emission mask for operation with shared spectrum channel access</w:t>
      </w:r>
    </w:p>
    <w:tbl>
      <w:tblPr>
        <w:tblpPr w:leftFromText="180" w:rightFromText="180" w:vertAnchor="text" w:tblpXSpec="center"/>
        <w:tblW w:w="8774" w:type="dxa"/>
        <w:tblCellMar>
          <w:left w:w="0" w:type="dxa"/>
          <w:right w:w="0" w:type="dxa"/>
        </w:tblCellMar>
        <w:tblLook w:val="04A0" w:firstRow="1" w:lastRow="0" w:firstColumn="1" w:lastColumn="0" w:noHBand="0" w:noVBand="1"/>
      </w:tblPr>
      <w:tblGrid>
        <w:gridCol w:w="2350"/>
        <w:gridCol w:w="4999"/>
        <w:gridCol w:w="1425"/>
      </w:tblGrid>
      <w:tr w:rsidR="0038471B" w14:paraId="5D4CBF42" w14:textId="77777777" w:rsidTr="00717BD1">
        <w:trPr>
          <w:cantSplit/>
          <w:trHeight w:val="48"/>
        </w:trPr>
        <w:tc>
          <w:tcPr>
            <w:tcW w:w="8774" w:type="dxa"/>
            <w:gridSpan w:val="3"/>
            <w:tcBorders>
              <w:top w:val="single" w:sz="4" w:space="0" w:color="auto"/>
              <w:left w:val="single" w:sz="8" w:space="0" w:color="auto"/>
              <w:bottom w:val="single" w:sz="8" w:space="0" w:color="auto"/>
              <w:right w:val="single" w:sz="8" w:space="0" w:color="auto"/>
            </w:tcBorders>
            <w:hideMark/>
          </w:tcPr>
          <w:p w14:paraId="0B33CD04" w14:textId="77777777" w:rsidR="0038471B" w:rsidRDefault="0038471B" w:rsidP="00784EF1">
            <w:pPr>
              <w:pStyle w:val="TAH"/>
              <w:rPr>
                <w:lang w:val="en-GB" w:eastAsia="en-GB"/>
              </w:rPr>
            </w:pPr>
            <w:r>
              <w:rPr>
                <w:lang w:eastAsia="en-GB"/>
              </w:rPr>
              <w:t>Spectrum emission limit (</w:t>
            </w:r>
            <w:proofErr w:type="spellStart"/>
            <w:r>
              <w:rPr>
                <w:lang w:eastAsia="en-GB"/>
              </w:rPr>
              <w:t>dBr</w:t>
            </w:r>
            <w:proofErr w:type="spellEnd"/>
            <w:r>
              <w:rPr>
                <w:lang w:eastAsia="en-GB"/>
              </w:rPr>
              <w:t>) / Channel bandwidth (CBW)</w:t>
            </w:r>
          </w:p>
        </w:tc>
      </w:tr>
      <w:tr w:rsidR="0038471B" w14:paraId="6900B7AA" w14:textId="77777777" w:rsidTr="00717BD1">
        <w:trPr>
          <w:cantSplit/>
          <w:trHeight w:val="473"/>
        </w:trPr>
        <w:tc>
          <w:tcPr>
            <w:tcW w:w="23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5238A4" w14:textId="77777777" w:rsidR="0038471B" w:rsidRDefault="0038471B" w:rsidP="00784EF1">
            <w:pPr>
              <w:pStyle w:val="TAH"/>
              <w:rPr>
                <w:rFonts w:eastAsiaTheme="minorHAnsi"/>
                <w:szCs w:val="18"/>
                <w:lang w:eastAsia="en-GB"/>
              </w:rPr>
            </w:pPr>
            <w:proofErr w:type="spellStart"/>
            <w:r>
              <w:rPr>
                <w:lang w:eastAsia="en-GB"/>
              </w:rPr>
              <w:t>Δf</w:t>
            </w:r>
            <w:r>
              <w:rPr>
                <w:vertAlign w:val="subscript"/>
                <w:lang w:eastAsia="en-GB"/>
              </w:rPr>
              <w:t>OOB</w:t>
            </w:r>
            <w:proofErr w:type="spellEnd"/>
          </w:p>
          <w:p w14:paraId="4153DA79" w14:textId="77777777" w:rsidR="0038471B" w:rsidRDefault="0038471B" w:rsidP="00784EF1">
            <w:pPr>
              <w:pStyle w:val="TAH"/>
              <w:rPr>
                <w:lang w:val="en-GB" w:eastAsia="en-GB"/>
              </w:rPr>
            </w:pPr>
            <w:r>
              <w:rPr>
                <w:lang w:eastAsia="en-GB"/>
              </w:rPr>
              <w:t>(MHz)</w:t>
            </w:r>
          </w:p>
        </w:tc>
        <w:tc>
          <w:tcPr>
            <w:tcW w:w="4999" w:type="dxa"/>
            <w:tcBorders>
              <w:top w:val="nil"/>
              <w:left w:val="nil"/>
              <w:bottom w:val="single" w:sz="8" w:space="0" w:color="auto"/>
              <w:right w:val="single" w:sz="8" w:space="0" w:color="auto"/>
            </w:tcBorders>
            <w:hideMark/>
          </w:tcPr>
          <w:p w14:paraId="48F12734" w14:textId="77777777" w:rsidR="0038471B" w:rsidRDefault="0038471B" w:rsidP="00784EF1">
            <w:pPr>
              <w:pStyle w:val="TAH"/>
              <w:rPr>
                <w:lang w:val="en-GB" w:eastAsia="en-GB"/>
              </w:rPr>
            </w:pPr>
            <w:r>
              <w:rPr>
                <w:lang w:eastAsia="en-GB"/>
              </w:rPr>
              <w:t>10, 20, 40, 60, 80, 100 MHz</w:t>
            </w:r>
          </w:p>
        </w:tc>
        <w:tc>
          <w:tcPr>
            <w:tcW w:w="1425" w:type="dxa"/>
            <w:tcBorders>
              <w:top w:val="nil"/>
              <w:left w:val="nil"/>
              <w:bottom w:val="single" w:sz="8" w:space="0" w:color="auto"/>
              <w:right w:val="single" w:sz="8" w:space="0" w:color="auto"/>
            </w:tcBorders>
            <w:tcMar>
              <w:top w:w="0" w:type="dxa"/>
              <w:left w:w="108" w:type="dxa"/>
              <w:bottom w:w="0" w:type="dxa"/>
              <w:right w:w="108" w:type="dxa"/>
            </w:tcMar>
            <w:hideMark/>
          </w:tcPr>
          <w:p w14:paraId="6679C829" w14:textId="77777777" w:rsidR="0038471B" w:rsidRDefault="0038471B" w:rsidP="00784EF1">
            <w:pPr>
              <w:pStyle w:val="TAH"/>
              <w:rPr>
                <w:lang w:val="en-GB" w:eastAsia="en-GB"/>
              </w:rPr>
            </w:pPr>
            <w:r>
              <w:rPr>
                <w:lang w:eastAsia="en-GB"/>
              </w:rPr>
              <w:t>Measurement bandwidth</w:t>
            </w:r>
            <w:r>
              <w:rPr>
                <w:lang w:eastAsia="en-GB"/>
              </w:rPr>
              <w:br/>
              <w:t>(MBW)</w:t>
            </w:r>
          </w:p>
        </w:tc>
      </w:tr>
      <w:tr w:rsidR="0038471B" w14:paraId="4C703393" w14:textId="77777777" w:rsidTr="00717BD1">
        <w:tc>
          <w:tcPr>
            <w:tcW w:w="23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92EEBD" w14:textId="77777777" w:rsidR="0038471B" w:rsidRDefault="0038471B" w:rsidP="00784EF1">
            <w:pPr>
              <w:pStyle w:val="TAC"/>
              <w:rPr>
                <w:lang w:val="en-GB" w:eastAsia="en-GB"/>
              </w:rPr>
            </w:pPr>
            <w:r>
              <w:rPr>
                <w:lang w:eastAsia="en-GB"/>
              </w:rPr>
              <w:t>± 0-1</w:t>
            </w:r>
          </w:p>
        </w:tc>
        <w:tc>
          <w:tcPr>
            <w:tcW w:w="4999" w:type="dxa"/>
            <w:tcBorders>
              <w:top w:val="nil"/>
              <w:left w:val="nil"/>
              <w:bottom w:val="single" w:sz="8" w:space="0" w:color="auto"/>
              <w:right w:val="single" w:sz="8" w:space="0" w:color="auto"/>
            </w:tcBorders>
            <w:vAlign w:val="center"/>
            <w:hideMark/>
          </w:tcPr>
          <w:p w14:paraId="2EDDBDC6" w14:textId="77777777" w:rsidR="0038471B" w:rsidRDefault="0038471B" w:rsidP="00784EF1">
            <w:pPr>
              <w:pStyle w:val="TAC"/>
              <w:rPr>
                <w:lang w:eastAsia="en-GB"/>
              </w:rPr>
            </w:pPr>
            <m:oMathPara>
              <m:oMath>
                <m:r>
                  <m:rPr>
                    <m:sty m:val="bi"/>
                  </m:rPr>
                  <w:rPr>
                    <w:rFonts w:ascii="Cambria Math" w:hAnsi="Cambria Math"/>
                    <w:lang w:eastAsia="en-GB"/>
                  </w:rPr>
                  <m:t xml:space="preserve">-20 </m:t>
                </m:r>
                <m:d>
                  <m:dPr>
                    <m:begChr m:val="|"/>
                    <m:endChr m:val="|"/>
                    <m:ctrlPr>
                      <w:rPr>
                        <w:rFonts w:ascii="Cambria Math" w:eastAsiaTheme="minorHAnsi" w:hAnsi="Cambria Math" w:cs="Arial"/>
                        <w:b/>
                        <w:bCs/>
                        <w:i/>
                        <w:iCs/>
                        <w:szCs w:val="18"/>
                        <w:lang w:eastAsia="en-GB"/>
                      </w:rPr>
                    </m:ctrlPr>
                  </m:dPr>
                  <m:e>
                    <m:sSub>
                      <m:sSubPr>
                        <m:ctrlPr>
                          <w:rPr>
                            <w:rFonts w:ascii="Cambria Math" w:eastAsiaTheme="minorHAnsi" w:hAnsi="Cambria Math" w:cs="Arial"/>
                            <w:b/>
                            <w:bCs/>
                            <w:i/>
                            <w:iCs/>
                            <w:szCs w:val="18"/>
                            <w:lang w:eastAsia="en-GB"/>
                          </w:rPr>
                        </m:ctrlPr>
                      </m:sSubPr>
                      <m:e>
                        <m:r>
                          <m:rPr>
                            <m:sty m:val="bi"/>
                          </m:rPr>
                          <w:rPr>
                            <w:rFonts w:ascii="Cambria Math" w:hAnsi="Cambria Math"/>
                            <w:lang w:eastAsia="en-GB"/>
                          </w:rPr>
                          <m:t>∆f</m:t>
                        </m:r>
                      </m:e>
                      <m:sub>
                        <m:r>
                          <m:rPr>
                            <m:sty m:val="bi"/>
                          </m:rPr>
                          <w:rPr>
                            <w:rFonts w:ascii="Cambria Math" w:hAnsi="Cambria Math"/>
                            <w:lang w:eastAsia="en-GB"/>
                          </w:rPr>
                          <m:t>OOB</m:t>
                        </m:r>
                      </m:sub>
                    </m:sSub>
                  </m:e>
                </m:d>
              </m:oMath>
            </m:oMathPara>
          </w:p>
        </w:tc>
        <w:tc>
          <w:tcPr>
            <w:tcW w:w="1425" w:type="dxa"/>
            <w:tcBorders>
              <w:top w:val="nil"/>
              <w:left w:val="nil"/>
              <w:bottom w:val="single" w:sz="8" w:space="0" w:color="auto"/>
              <w:right w:val="single" w:sz="8" w:space="0" w:color="auto"/>
            </w:tcBorders>
            <w:vAlign w:val="center"/>
            <w:hideMark/>
          </w:tcPr>
          <w:p w14:paraId="0BC62B1A" w14:textId="77777777" w:rsidR="0038471B" w:rsidRDefault="0038471B" w:rsidP="00784EF1">
            <w:pPr>
              <w:pStyle w:val="TAC"/>
              <w:rPr>
                <w:lang w:eastAsia="en-GB"/>
              </w:rPr>
            </w:pPr>
            <w:r>
              <w:rPr>
                <w:lang w:eastAsia="en-GB"/>
              </w:rPr>
              <w:t>[100kHz]</w:t>
            </w:r>
            <w:r>
              <w:rPr>
                <w:vertAlign w:val="superscript"/>
                <w:lang w:eastAsia="en-GB"/>
              </w:rPr>
              <w:t>3</w:t>
            </w:r>
          </w:p>
        </w:tc>
      </w:tr>
      <w:tr w:rsidR="0038471B" w14:paraId="41811EF8" w14:textId="77777777" w:rsidTr="00717BD1">
        <w:tc>
          <w:tcPr>
            <w:tcW w:w="23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7771E9" w14:textId="12FE5158" w:rsidR="0038471B" w:rsidRDefault="00717BD1" w:rsidP="00784EF1">
            <w:pPr>
              <w:pStyle w:val="TAC"/>
              <w:rPr>
                <w:lang w:val="en-GB" w:eastAsia="en-GB"/>
              </w:rPr>
            </w:pPr>
            <w:r>
              <w:rPr>
                <w:lang w:eastAsia="en-GB"/>
              </w:rPr>
              <w:t>± 1</w:t>
            </w:r>
            <w:r w:rsidR="0038471B">
              <w:rPr>
                <w:lang w:eastAsia="en-GB"/>
              </w:rPr>
              <w:t>-</w:t>
            </w:r>
            <w:r>
              <w:rPr>
                <w:lang w:eastAsia="en-GB"/>
              </w:rPr>
              <w:t>(</w:t>
            </w:r>
            <w:proofErr w:type="spellStart"/>
            <w:r w:rsidR="00DD23BF">
              <w:rPr>
                <w:rFonts w:cs="Arial"/>
                <w:szCs w:val="18"/>
                <w:lang w:val="en-GB" w:eastAsia="en-GB"/>
              </w:rPr>
              <w:t>BW</w:t>
            </w:r>
            <w:r w:rsidR="00DD23BF">
              <w:rPr>
                <w:rFonts w:cs="Arial"/>
                <w:szCs w:val="18"/>
                <w:vertAlign w:val="subscript"/>
                <w:lang w:val="en-GB" w:eastAsia="en-GB"/>
              </w:rPr>
              <w:t>Channel</w:t>
            </w:r>
            <w:proofErr w:type="spellEnd"/>
            <w:r w:rsidR="0038471B">
              <w:rPr>
                <w:lang w:eastAsia="en-GB"/>
              </w:rPr>
              <w:t>/2</w:t>
            </w:r>
            <w:r>
              <w:rPr>
                <w:lang w:eastAsia="en-GB"/>
              </w:rPr>
              <w:t>)</w:t>
            </w:r>
          </w:p>
        </w:tc>
        <w:tc>
          <w:tcPr>
            <w:tcW w:w="4999" w:type="dxa"/>
            <w:tcBorders>
              <w:top w:val="nil"/>
              <w:left w:val="nil"/>
              <w:bottom w:val="single" w:sz="8" w:space="0" w:color="auto"/>
              <w:right w:val="single" w:sz="8" w:space="0" w:color="auto"/>
            </w:tcBorders>
            <w:vAlign w:val="center"/>
            <w:hideMark/>
          </w:tcPr>
          <w:p w14:paraId="0C59B384" w14:textId="59028C34" w:rsidR="0038471B" w:rsidRDefault="0038471B" w:rsidP="00717BD1">
            <w:pPr>
              <w:pStyle w:val="TAC"/>
              <w:rPr>
                <w:lang w:val="en-GB" w:eastAsia="en-GB"/>
              </w:rPr>
            </w:pPr>
            <m:oMath>
              <m:r>
                <w:rPr>
                  <w:rFonts w:ascii="Cambria Math" w:hAnsi="Cambria Math" w:cs="Arial"/>
                  <w:sz w:val="16"/>
                  <w:szCs w:val="16"/>
                  <w:lang w:eastAsia="en-GB"/>
                </w:rPr>
                <m:t>-20-</m:t>
              </m:r>
              <m:d>
                <m:dPr>
                  <m:ctrlPr>
                    <w:rPr>
                      <w:rFonts w:ascii="Cambria Math" w:eastAsiaTheme="minorHAnsi" w:hAnsi="Cambria Math" w:cs="Arial"/>
                      <w:i/>
                      <w:iCs/>
                      <w:sz w:val="16"/>
                      <w:szCs w:val="16"/>
                      <w:lang w:eastAsia="en-GB"/>
                    </w:rPr>
                  </m:ctrlPr>
                </m:dPr>
                <m:e>
                  <m:f>
                    <m:fPr>
                      <m:type m:val="skw"/>
                      <m:ctrlPr>
                        <w:rPr>
                          <w:rFonts w:ascii="Cambria Math" w:eastAsiaTheme="minorHAnsi" w:hAnsi="Cambria Math" w:cs="Arial"/>
                          <w:i/>
                          <w:iCs/>
                          <w:sz w:val="16"/>
                          <w:szCs w:val="16"/>
                          <w:lang w:eastAsia="en-GB"/>
                        </w:rPr>
                      </m:ctrlPr>
                    </m:fPr>
                    <m:num>
                      <m:r>
                        <w:rPr>
                          <w:rFonts w:ascii="Cambria Math" w:hAnsi="Cambria Math" w:cs="Arial"/>
                          <w:sz w:val="16"/>
                          <w:szCs w:val="16"/>
                          <w:lang w:eastAsia="en-GB"/>
                        </w:rPr>
                        <m:t>8</m:t>
                      </m:r>
                    </m:num>
                    <m:den>
                      <m:r>
                        <m:rPr>
                          <m:sty m:val="bi"/>
                        </m:rPr>
                        <w:rPr>
                          <w:rFonts w:ascii="Cambria Math" w:hAnsi="Cambria Math" w:cs="Arial"/>
                          <w:sz w:val="16"/>
                          <w:szCs w:val="16"/>
                          <w:lang w:eastAsia="en-GB"/>
                        </w:rPr>
                        <m:t>A</m:t>
                      </m:r>
                    </m:den>
                  </m:f>
                </m:e>
              </m:d>
              <m:r>
                <w:rPr>
                  <w:rFonts w:ascii="Cambria Math" w:hAnsi="Cambria Math" w:cs="Arial"/>
                  <w:sz w:val="16"/>
                  <w:szCs w:val="16"/>
                  <w:lang w:val="en-GB" w:eastAsia="en-GB"/>
                </w:rPr>
                <m:t xml:space="preserve"> </m:t>
              </m:r>
              <m:d>
                <m:dPr>
                  <m:begChr m:val="|"/>
                  <m:endChr m:val="|"/>
                  <m:ctrlPr>
                    <w:rPr>
                      <w:rFonts w:ascii="Cambria Math" w:eastAsiaTheme="minorHAnsi" w:hAnsi="Cambria Math" w:cs="Arial"/>
                      <w:i/>
                      <w:iCs/>
                      <w:sz w:val="16"/>
                      <w:szCs w:val="16"/>
                      <w:lang w:eastAsia="en-GB"/>
                    </w:rPr>
                  </m:ctrlPr>
                </m:dPr>
                <m:e>
                  <m:sSub>
                    <m:sSubPr>
                      <m:ctrlPr>
                        <w:rPr>
                          <w:rFonts w:ascii="Cambria Math" w:eastAsiaTheme="minorHAnsi" w:hAnsi="Cambria Math" w:cs="Arial"/>
                          <w:i/>
                          <w:iCs/>
                          <w:sz w:val="16"/>
                          <w:szCs w:val="16"/>
                          <w:lang w:eastAsia="en-GB"/>
                        </w:rPr>
                      </m:ctrlPr>
                    </m:sSubPr>
                    <m:e>
                      <m:r>
                        <m:rPr>
                          <m:sty m:val="bi"/>
                        </m:rPr>
                        <w:rPr>
                          <w:rFonts w:ascii="Cambria Math" w:hAnsi="Cambria Math" w:cs="Arial"/>
                          <w:sz w:val="16"/>
                          <w:szCs w:val="16"/>
                          <w:lang w:eastAsia="en-GB"/>
                        </w:rPr>
                        <m:t>∆f</m:t>
                      </m:r>
                    </m:e>
                    <m:sub>
                      <m:r>
                        <m:rPr>
                          <m:sty m:val="bi"/>
                        </m:rPr>
                        <w:rPr>
                          <w:rFonts w:ascii="Cambria Math" w:hAnsi="Cambria Math" w:cs="Arial"/>
                          <w:sz w:val="16"/>
                          <w:szCs w:val="16"/>
                          <w:lang w:eastAsia="en-GB"/>
                        </w:rPr>
                        <m:t>OOB</m:t>
                      </m:r>
                    </m:sub>
                  </m:sSub>
                  <m:r>
                    <w:rPr>
                      <w:rFonts w:ascii="Cambria Math" w:hAnsi="Cambria Math" w:cs="Arial"/>
                      <w:sz w:val="16"/>
                      <w:szCs w:val="16"/>
                      <w:lang w:eastAsia="en-GB"/>
                    </w:rPr>
                    <m:t>-1</m:t>
                  </m:r>
                </m:e>
              </m:d>
            </m:oMath>
            <w:r>
              <w:rPr>
                <w:sz w:val="16"/>
                <w:szCs w:val="16"/>
                <w:lang w:eastAsia="en-GB"/>
              </w:rPr>
              <w:t xml:space="preserve"> where </w:t>
            </w:r>
            <m:oMath>
              <m:r>
                <m:rPr>
                  <m:sty m:val="bi"/>
                </m:rPr>
                <w:rPr>
                  <w:rFonts w:ascii="Cambria Math" w:hAnsi="Cambria Math" w:cs="Arial"/>
                  <w:lang w:eastAsia="en-GB"/>
                </w:rPr>
                <m:t>A</m:t>
              </m:r>
              <m:r>
                <w:rPr>
                  <w:rFonts w:ascii="Cambria Math" w:hAnsi="Cambria Math" w:cs="Arial"/>
                  <w:lang w:eastAsia="en-GB"/>
                </w:rPr>
                <m:t xml:space="preserve">= </m:t>
              </m:r>
              <m:d>
                <m:dPr>
                  <m:ctrlPr>
                    <w:rPr>
                      <w:rFonts w:ascii="Cambria Math" w:eastAsiaTheme="minorHAnsi" w:hAnsi="Cambria Math" w:cs="Arial"/>
                      <w:i/>
                      <w:iCs/>
                      <w:sz w:val="16"/>
                      <w:szCs w:val="16"/>
                      <w:lang w:eastAsia="en-GB"/>
                    </w:rPr>
                  </m:ctrlPr>
                </m:dPr>
                <m:e>
                  <m:f>
                    <m:fPr>
                      <m:type m:val="skw"/>
                      <m:ctrlPr>
                        <w:rPr>
                          <w:rFonts w:ascii="Cambria Math" w:eastAsiaTheme="minorHAnsi" w:hAnsi="Cambria Math" w:cs="Arial"/>
                          <w:i/>
                          <w:iCs/>
                          <w:sz w:val="16"/>
                          <w:szCs w:val="16"/>
                          <w:lang w:eastAsia="en-GB"/>
                        </w:rPr>
                      </m:ctrlPr>
                    </m:fPr>
                    <m:num>
                      <m:r>
                        <m:rPr>
                          <m:sty m:val="p"/>
                        </m:rPr>
                        <w:rPr>
                          <w:rFonts w:ascii="Cambria Math" w:hAnsi="Cambria Math" w:cs="Arial"/>
                          <w:szCs w:val="18"/>
                          <w:lang w:val="en-GB" w:eastAsia="en-GB"/>
                        </w:rPr>
                        <m:t>BW</m:t>
                      </m:r>
                      <m:r>
                        <m:rPr>
                          <m:sty m:val="p"/>
                        </m:rPr>
                        <w:rPr>
                          <w:rFonts w:ascii="Cambria Math" w:hAnsi="Cambria Math" w:cs="Arial"/>
                          <w:szCs w:val="18"/>
                          <w:vertAlign w:val="subscript"/>
                          <w:lang w:val="en-GB" w:eastAsia="en-GB"/>
                        </w:rPr>
                        <m:t>Channel</m:t>
                      </m:r>
                    </m:num>
                    <m:den>
                      <m:r>
                        <w:rPr>
                          <w:rFonts w:ascii="Cambria Math" w:hAnsi="Cambria Math" w:cs="Arial"/>
                          <w:sz w:val="16"/>
                          <w:szCs w:val="16"/>
                          <w:lang w:eastAsia="en-GB"/>
                        </w:rPr>
                        <m:t>2</m:t>
                      </m:r>
                    </m:den>
                  </m:f>
                </m:e>
              </m:d>
              <m:r>
                <w:rPr>
                  <w:rFonts w:ascii="Cambria Math" w:hAnsi="Cambria Math" w:cs="Arial"/>
                  <w:sz w:val="16"/>
                  <w:szCs w:val="16"/>
                  <w:lang w:eastAsia="en-GB"/>
                </w:rPr>
                <m:t>-1</m:t>
              </m:r>
            </m:oMath>
          </w:p>
        </w:tc>
        <w:tc>
          <w:tcPr>
            <w:tcW w:w="1425" w:type="dxa"/>
            <w:tcBorders>
              <w:top w:val="nil"/>
              <w:left w:val="nil"/>
              <w:bottom w:val="nil"/>
              <w:right w:val="single" w:sz="8" w:space="0" w:color="auto"/>
            </w:tcBorders>
            <w:tcMar>
              <w:top w:w="0" w:type="dxa"/>
              <w:left w:w="108" w:type="dxa"/>
              <w:bottom w:w="0" w:type="dxa"/>
              <w:right w:w="108" w:type="dxa"/>
            </w:tcMar>
            <w:vAlign w:val="center"/>
            <w:hideMark/>
          </w:tcPr>
          <w:p w14:paraId="68488772" w14:textId="77777777" w:rsidR="0038471B" w:rsidRDefault="0038471B" w:rsidP="00784EF1">
            <w:pPr>
              <w:pStyle w:val="TAC"/>
              <w:rPr>
                <w:lang w:val="en-GB" w:eastAsia="en-GB"/>
              </w:rPr>
            </w:pPr>
            <w:r>
              <w:rPr>
                <w:lang w:eastAsia="en-GB"/>
              </w:rPr>
              <w:t>1 MHz</w:t>
            </w:r>
          </w:p>
        </w:tc>
      </w:tr>
      <w:tr w:rsidR="0038471B" w14:paraId="2FCCFF93" w14:textId="77777777" w:rsidTr="00717BD1">
        <w:tc>
          <w:tcPr>
            <w:tcW w:w="23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8DE1EB" w14:textId="68BA142A" w:rsidR="0038471B" w:rsidRDefault="0038471B" w:rsidP="00784EF1">
            <w:pPr>
              <w:pStyle w:val="TAC"/>
              <w:rPr>
                <w:lang w:val="en-GB" w:eastAsia="en-GB"/>
              </w:rPr>
            </w:pPr>
            <w:r>
              <w:rPr>
                <w:lang w:eastAsia="en-GB"/>
              </w:rPr>
              <w:t xml:space="preserve">± </w:t>
            </w:r>
            <w:r w:rsidR="00717BD1">
              <w:rPr>
                <w:lang w:eastAsia="en-GB"/>
              </w:rPr>
              <w:t>(</w:t>
            </w:r>
            <w:proofErr w:type="spellStart"/>
            <w:r w:rsidR="00DD23BF">
              <w:rPr>
                <w:rFonts w:cs="Arial"/>
                <w:szCs w:val="18"/>
                <w:lang w:val="en-GB" w:eastAsia="en-GB"/>
              </w:rPr>
              <w:t>BW</w:t>
            </w:r>
            <w:r w:rsidR="00DD23BF">
              <w:rPr>
                <w:rFonts w:cs="Arial"/>
                <w:szCs w:val="18"/>
                <w:vertAlign w:val="subscript"/>
                <w:lang w:val="en-GB" w:eastAsia="en-GB"/>
              </w:rPr>
              <w:t>Channel</w:t>
            </w:r>
            <w:proofErr w:type="spellEnd"/>
            <w:r>
              <w:rPr>
                <w:lang w:eastAsia="en-GB"/>
              </w:rPr>
              <w:t>/2</w:t>
            </w:r>
            <w:r w:rsidR="00717BD1">
              <w:rPr>
                <w:lang w:eastAsia="en-GB"/>
              </w:rPr>
              <w:t>)</w:t>
            </w:r>
            <w:r>
              <w:rPr>
                <w:lang w:eastAsia="en-GB"/>
              </w:rPr>
              <w:t>-</w:t>
            </w:r>
            <w:proofErr w:type="spellStart"/>
            <w:r w:rsidR="00DD23BF">
              <w:rPr>
                <w:rFonts w:cs="Arial"/>
                <w:szCs w:val="18"/>
                <w:lang w:val="en-GB" w:eastAsia="en-GB"/>
              </w:rPr>
              <w:t>BW</w:t>
            </w:r>
            <w:r w:rsidR="00DD23BF">
              <w:rPr>
                <w:rFonts w:cs="Arial"/>
                <w:szCs w:val="18"/>
                <w:vertAlign w:val="subscript"/>
                <w:lang w:val="en-GB" w:eastAsia="en-GB"/>
              </w:rPr>
              <w:t>Channel</w:t>
            </w:r>
            <w:proofErr w:type="spellEnd"/>
          </w:p>
        </w:tc>
        <w:tc>
          <w:tcPr>
            <w:tcW w:w="4999" w:type="dxa"/>
            <w:tcBorders>
              <w:top w:val="nil"/>
              <w:left w:val="nil"/>
              <w:bottom w:val="single" w:sz="8" w:space="0" w:color="auto"/>
              <w:right w:val="single" w:sz="8" w:space="0" w:color="auto"/>
            </w:tcBorders>
            <w:vAlign w:val="center"/>
            <w:hideMark/>
          </w:tcPr>
          <w:p w14:paraId="0B20B556" w14:textId="50457D14" w:rsidR="0038471B" w:rsidRDefault="0038471B" w:rsidP="00717BD1">
            <w:pPr>
              <w:pStyle w:val="TAC"/>
              <w:rPr>
                <w:lang w:val="en-GB" w:eastAsia="en-GB"/>
              </w:rPr>
            </w:pPr>
            <m:oMath>
              <m:r>
                <w:rPr>
                  <w:rFonts w:ascii="Cambria Math" w:hAnsi="Cambria Math" w:cs="Arial"/>
                  <w:sz w:val="16"/>
                  <w:szCs w:val="16"/>
                  <w:lang w:eastAsia="en-GB"/>
                </w:rPr>
                <m:t>-16-</m:t>
              </m:r>
              <m:d>
                <m:dPr>
                  <m:ctrlPr>
                    <w:rPr>
                      <w:rFonts w:ascii="Cambria Math" w:eastAsiaTheme="minorHAnsi" w:hAnsi="Cambria Math" w:cs="Arial"/>
                      <w:i/>
                      <w:iCs/>
                      <w:sz w:val="16"/>
                      <w:szCs w:val="16"/>
                      <w:lang w:eastAsia="en-GB"/>
                    </w:rPr>
                  </m:ctrlPr>
                </m:dPr>
                <m:e>
                  <m:f>
                    <m:fPr>
                      <m:type m:val="skw"/>
                      <m:ctrlPr>
                        <w:rPr>
                          <w:rFonts w:ascii="Cambria Math" w:eastAsiaTheme="minorHAnsi" w:hAnsi="Cambria Math" w:cs="Arial"/>
                          <w:i/>
                          <w:iCs/>
                          <w:sz w:val="16"/>
                          <w:szCs w:val="16"/>
                          <w:lang w:eastAsia="en-GB"/>
                        </w:rPr>
                      </m:ctrlPr>
                    </m:fPr>
                    <m:num>
                      <m:r>
                        <w:rPr>
                          <w:rFonts w:ascii="Cambria Math" w:hAnsi="Cambria Math" w:cs="Arial"/>
                          <w:sz w:val="16"/>
                          <w:szCs w:val="16"/>
                          <w:lang w:eastAsia="en-GB"/>
                        </w:rPr>
                        <m:t>12</m:t>
                      </m:r>
                    </m:num>
                    <m:den>
                      <m:r>
                        <m:rPr>
                          <m:sty m:val="bi"/>
                        </m:rPr>
                        <w:rPr>
                          <w:rFonts w:ascii="Cambria Math" w:hAnsi="Cambria Math" w:cs="Arial"/>
                          <w:sz w:val="16"/>
                          <w:szCs w:val="16"/>
                          <w:lang w:eastAsia="en-GB"/>
                        </w:rPr>
                        <m:t>B</m:t>
                      </m:r>
                    </m:den>
                  </m:f>
                </m:e>
              </m:d>
              <m:r>
                <w:rPr>
                  <w:rFonts w:ascii="Cambria Math" w:hAnsi="Cambria Math" w:cs="Arial"/>
                  <w:sz w:val="16"/>
                  <w:szCs w:val="16"/>
                  <w:lang w:val="en-GB" w:eastAsia="en-GB"/>
                </w:rPr>
                <m:t xml:space="preserve"> </m:t>
              </m:r>
              <m:d>
                <m:dPr>
                  <m:begChr m:val="|"/>
                  <m:endChr m:val="|"/>
                  <m:ctrlPr>
                    <w:rPr>
                      <w:rFonts w:ascii="Cambria Math" w:eastAsiaTheme="minorHAnsi" w:hAnsi="Cambria Math" w:cs="Arial"/>
                      <w:i/>
                      <w:iCs/>
                      <w:sz w:val="16"/>
                      <w:szCs w:val="16"/>
                      <w:lang w:eastAsia="en-GB"/>
                    </w:rPr>
                  </m:ctrlPr>
                </m:dPr>
                <m:e>
                  <m:sSub>
                    <m:sSubPr>
                      <m:ctrlPr>
                        <w:rPr>
                          <w:rFonts w:ascii="Cambria Math" w:eastAsiaTheme="minorHAnsi" w:hAnsi="Cambria Math" w:cs="Arial"/>
                          <w:i/>
                          <w:iCs/>
                          <w:sz w:val="16"/>
                          <w:szCs w:val="16"/>
                          <w:lang w:eastAsia="en-GB"/>
                        </w:rPr>
                      </m:ctrlPr>
                    </m:sSubPr>
                    <m:e>
                      <m:r>
                        <m:rPr>
                          <m:sty m:val="bi"/>
                        </m:rPr>
                        <w:rPr>
                          <w:rFonts w:ascii="Cambria Math" w:hAnsi="Cambria Math" w:cs="Arial"/>
                          <w:sz w:val="16"/>
                          <w:szCs w:val="16"/>
                          <w:lang w:eastAsia="en-GB"/>
                        </w:rPr>
                        <m:t>∆f</m:t>
                      </m:r>
                    </m:e>
                    <m:sub>
                      <m:r>
                        <m:rPr>
                          <m:sty m:val="bi"/>
                        </m:rPr>
                        <w:rPr>
                          <w:rFonts w:ascii="Cambria Math" w:hAnsi="Cambria Math" w:cs="Arial"/>
                          <w:sz w:val="16"/>
                          <w:szCs w:val="16"/>
                          <w:lang w:eastAsia="en-GB"/>
                        </w:rPr>
                        <m:t>OOB</m:t>
                      </m:r>
                    </m:sub>
                  </m:sSub>
                </m:e>
              </m:d>
            </m:oMath>
            <w:r>
              <w:rPr>
                <w:sz w:val="16"/>
                <w:szCs w:val="16"/>
                <w:lang w:eastAsia="en-GB"/>
              </w:rPr>
              <w:t xml:space="preserve"> where </w:t>
            </w:r>
            <m:oMath>
              <m:r>
                <m:rPr>
                  <m:sty m:val="bi"/>
                </m:rPr>
                <w:rPr>
                  <w:rFonts w:ascii="Cambria Math" w:hAnsi="Cambria Math" w:cs="Arial"/>
                  <w:lang w:eastAsia="en-GB"/>
                </w:rPr>
                <m:t>B</m:t>
              </m:r>
              <m:r>
                <w:rPr>
                  <w:rFonts w:ascii="Cambria Math" w:hAnsi="Cambria Math" w:cs="Arial"/>
                  <w:lang w:eastAsia="en-GB"/>
                </w:rPr>
                <m:t xml:space="preserve">= </m:t>
              </m:r>
              <m:d>
                <m:dPr>
                  <m:ctrlPr>
                    <w:rPr>
                      <w:rFonts w:ascii="Cambria Math" w:eastAsiaTheme="minorHAnsi" w:hAnsi="Cambria Math" w:cs="Arial"/>
                      <w:i/>
                      <w:iCs/>
                      <w:sz w:val="16"/>
                      <w:szCs w:val="16"/>
                      <w:lang w:eastAsia="en-GB"/>
                    </w:rPr>
                  </m:ctrlPr>
                </m:dPr>
                <m:e>
                  <m:f>
                    <m:fPr>
                      <m:type m:val="skw"/>
                      <m:ctrlPr>
                        <w:rPr>
                          <w:rFonts w:ascii="Cambria Math" w:eastAsiaTheme="minorHAnsi" w:hAnsi="Cambria Math" w:cs="Arial"/>
                          <w:i/>
                          <w:iCs/>
                          <w:sz w:val="16"/>
                          <w:szCs w:val="16"/>
                          <w:lang w:eastAsia="en-GB"/>
                        </w:rPr>
                      </m:ctrlPr>
                    </m:fPr>
                    <m:num>
                      <m:r>
                        <m:rPr>
                          <m:sty m:val="p"/>
                        </m:rPr>
                        <w:rPr>
                          <w:rFonts w:ascii="Cambria Math" w:hAnsi="Cambria Math" w:cs="Arial"/>
                          <w:szCs w:val="18"/>
                          <w:lang w:val="en-GB" w:eastAsia="en-GB"/>
                        </w:rPr>
                        <m:t>BW</m:t>
                      </m:r>
                      <m:r>
                        <m:rPr>
                          <m:sty m:val="p"/>
                        </m:rPr>
                        <w:rPr>
                          <w:rFonts w:ascii="Cambria Math" w:hAnsi="Cambria Math" w:cs="Arial"/>
                          <w:szCs w:val="18"/>
                          <w:vertAlign w:val="subscript"/>
                          <w:lang w:val="en-GB" w:eastAsia="en-GB"/>
                        </w:rPr>
                        <m:t>Channel</m:t>
                      </m:r>
                    </m:num>
                    <m:den>
                      <m:r>
                        <w:rPr>
                          <w:rFonts w:ascii="Cambria Math" w:hAnsi="Cambria Math" w:cs="Arial"/>
                          <w:sz w:val="16"/>
                          <w:szCs w:val="16"/>
                          <w:lang w:eastAsia="en-GB"/>
                        </w:rPr>
                        <m:t>2</m:t>
                      </m:r>
                    </m:den>
                  </m:f>
                </m:e>
              </m:d>
            </m:oMath>
          </w:p>
        </w:tc>
        <w:tc>
          <w:tcPr>
            <w:tcW w:w="1425" w:type="dxa"/>
            <w:tcBorders>
              <w:top w:val="nil"/>
              <w:left w:val="nil"/>
              <w:bottom w:val="nil"/>
              <w:right w:val="single" w:sz="8" w:space="0" w:color="auto"/>
            </w:tcBorders>
            <w:tcMar>
              <w:top w:w="0" w:type="dxa"/>
              <w:left w:w="108" w:type="dxa"/>
              <w:bottom w:w="0" w:type="dxa"/>
              <w:right w:w="108" w:type="dxa"/>
            </w:tcMar>
            <w:vAlign w:val="center"/>
          </w:tcPr>
          <w:p w14:paraId="00D96A3B" w14:textId="77777777" w:rsidR="0038471B" w:rsidRDefault="0038471B" w:rsidP="00784EF1">
            <w:pPr>
              <w:spacing w:after="0"/>
              <w:rPr>
                <w:rFonts w:eastAsiaTheme="minorHAnsi"/>
                <w:lang w:val="en-GB" w:eastAsia="en-GB"/>
              </w:rPr>
            </w:pPr>
          </w:p>
        </w:tc>
      </w:tr>
      <w:tr w:rsidR="0038471B" w14:paraId="13F1C665" w14:textId="77777777" w:rsidTr="00717BD1">
        <w:tc>
          <w:tcPr>
            <w:tcW w:w="23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756F56" w14:textId="050F3C44" w:rsidR="0038471B" w:rsidRDefault="00717BD1" w:rsidP="00717BD1">
            <w:pPr>
              <w:pStyle w:val="TAC"/>
              <w:rPr>
                <w:lang w:val="en-GB" w:eastAsia="en-GB"/>
              </w:rPr>
            </w:pPr>
            <w:r>
              <w:rPr>
                <w:lang w:eastAsia="en-GB"/>
              </w:rPr>
              <w:t xml:space="preserve">&gt; </w:t>
            </w:r>
            <w:proofErr w:type="spellStart"/>
            <w:r>
              <w:rPr>
                <w:rFonts w:cs="Arial"/>
                <w:szCs w:val="18"/>
                <w:lang w:val="en-GB" w:eastAsia="en-GB"/>
              </w:rPr>
              <w:t>BW</w:t>
            </w:r>
            <w:r>
              <w:rPr>
                <w:rFonts w:cs="Arial"/>
                <w:szCs w:val="18"/>
                <w:vertAlign w:val="subscript"/>
                <w:lang w:val="en-GB" w:eastAsia="en-GB"/>
              </w:rPr>
              <w:t>Channel</w:t>
            </w:r>
            <w:proofErr w:type="spellEnd"/>
            <w:r>
              <w:rPr>
                <w:rFonts w:cs="Arial"/>
                <w:szCs w:val="18"/>
                <w:vertAlign w:val="subscript"/>
                <w:lang w:val="en-GB" w:eastAsia="en-GB"/>
              </w:rPr>
              <w:t xml:space="preserve"> </w:t>
            </w:r>
            <w:r>
              <w:rPr>
                <w:rFonts w:cs="Arial"/>
                <w:szCs w:val="18"/>
                <w:lang w:val="en-GB" w:eastAsia="en-GB"/>
              </w:rPr>
              <w:t xml:space="preserve">or &lt; </w:t>
            </w:r>
            <w:r w:rsidRPr="00717BD1">
              <w:rPr>
                <w:rFonts w:cs="Arial"/>
                <w:szCs w:val="18"/>
                <w:lang w:val="en-GB" w:eastAsia="en-GB"/>
              </w:rPr>
              <w:t>-</w:t>
            </w:r>
            <w:proofErr w:type="spellStart"/>
            <w:r>
              <w:rPr>
                <w:rFonts w:cs="Arial"/>
                <w:szCs w:val="18"/>
                <w:lang w:val="en-GB" w:eastAsia="en-GB"/>
              </w:rPr>
              <w:t>BW</w:t>
            </w:r>
            <w:r>
              <w:rPr>
                <w:rFonts w:cs="Arial"/>
                <w:szCs w:val="18"/>
                <w:vertAlign w:val="subscript"/>
                <w:lang w:val="en-GB" w:eastAsia="en-GB"/>
              </w:rPr>
              <w:t>Channel</w:t>
            </w:r>
            <w:proofErr w:type="spellEnd"/>
          </w:p>
        </w:tc>
        <w:tc>
          <w:tcPr>
            <w:tcW w:w="4999" w:type="dxa"/>
            <w:tcBorders>
              <w:top w:val="nil"/>
              <w:left w:val="nil"/>
              <w:bottom w:val="single" w:sz="4" w:space="0" w:color="auto"/>
              <w:right w:val="single" w:sz="8" w:space="0" w:color="auto"/>
            </w:tcBorders>
            <w:vAlign w:val="center"/>
            <w:hideMark/>
          </w:tcPr>
          <w:p w14:paraId="423D1FC7" w14:textId="77777777" w:rsidR="0038471B" w:rsidRDefault="0038471B" w:rsidP="00784EF1">
            <w:pPr>
              <w:pStyle w:val="TAC"/>
              <w:rPr>
                <w:lang w:val="en-GB" w:eastAsia="en-GB"/>
              </w:rPr>
            </w:pPr>
            <w:r>
              <w:rPr>
                <w:lang w:eastAsia="en-GB"/>
              </w:rPr>
              <w:t>-40</w:t>
            </w:r>
          </w:p>
        </w:tc>
        <w:tc>
          <w:tcPr>
            <w:tcW w:w="1425" w:type="dxa"/>
            <w:tcBorders>
              <w:top w:val="nil"/>
              <w:left w:val="nil"/>
              <w:bottom w:val="single" w:sz="8" w:space="0" w:color="auto"/>
              <w:right w:val="single" w:sz="8" w:space="0" w:color="auto"/>
            </w:tcBorders>
            <w:tcMar>
              <w:top w:w="0" w:type="dxa"/>
              <w:left w:w="108" w:type="dxa"/>
              <w:bottom w:w="0" w:type="dxa"/>
              <w:right w:w="108" w:type="dxa"/>
            </w:tcMar>
            <w:hideMark/>
          </w:tcPr>
          <w:p w14:paraId="3DF8FC3F" w14:textId="77777777" w:rsidR="0038471B" w:rsidRDefault="0038471B" w:rsidP="00784EF1">
            <w:pPr>
              <w:spacing w:after="0"/>
            </w:pPr>
          </w:p>
        </w:tc>
      </w:tr>
      <w:tr w:rsidR="0038471B" w14:paraId="734D1D56" w14:textId="77777777" w:rsidTr="00717BD1">
        <w:trPr>
          <w:trHeight w:val="662"/>
        </w:trPr>
        <w:tc>
          <w:tcPr>
            <w:tcW w:w="8774" w:type="dxa"/>
            <w:gridSpan w:val="3"/>
            <w:tcBorders>
              <w:top w:val="nil"/>
              <w:left w:val="single" w:sz="8" w:space="0" w:color="auto"/>
              <w:bottom w:val="single" w:sz="8" w:space="0" w:color="auto"/>
              <w:right w:val="single" w:sz="8" w:space="0" w:color="auto"/>
            </w:tcBorders>
            <w:hideMark/>
          </w:tcPr>
          <w:p w14:paraId="3D54CB70" w14:textId="77777777" w:rsidR="0038471B" w:rsidRDefault="0038471B" w:rsidP="00784EF1">
            <w:pPr>
              <w:pStyle w:val="TAN"/>
              <w:rPr>
                <w:rFonts w:eastAsiaTheme="minorHAnsi"/>
                <w:szCs w:val="18"/>
                <w:lang w:eastAsia="en-GB"/>
              </w:rPr>
            </w:pPr>
            <w:r>
              <w:rPr>
                <w:lang w:eastAsia="en-GB"/>
              </w:rPr>
              <w:t>NOTE 1:   Void</w:t>
            </w:r>
          </w:p>
          <w:p w14:paraId="790D4ABF" w14:textId="77777777" w:rsidR="0038471B" w:rsidRDefault="0038471B" w:rsidP="00784EF1">
            <w:pPr>
              <w:pStyle w:val="TAN"/>
              <w:rPr>
                <w:sz w:val="16"/>
                <w:szCs w:val="16"/>
                <w:lang w:val="en-GB" w:eastAsia="en-GB"/>
              </w:rPr>
            </w:pPr>
            <w:r>
              <w:rPr>
                <w:lang w:eastAsia="en-GB"/>
              </w:rPr>
              <w:t>NOTE 2:   Void</w:t>
            </w:r>
          </w:p>
          <w:p w14:paraId="0DF97109" w14:textId="77777777" w:rsidR="0038471B" w:rsidRDefault="0038471B" w:rsidP="00784EF1">
            <w:pPr>
              <w:pStyle w:val="TAN"/>
              <w:rPr>
                <w:szCs w:val="18"/>
                <w:lang w:eastAsia="fr-FR"/>
              </w:rPr>
            </w:pPr>
            <w:r>
              <w:rPr>
                <w:lang w:eastAsia="fr-FR"/>
              </w:rPr>
              <w:t>NOTE 3:   The measured value shall be scaled by a factor equal to the ratio of the reference bandwidth (1 MHz) to the measurement bandwidth before the emission limit (</w:t>
            </w:r>
            <w:proofErr w:type="spellStart"/>
            <w:r>
              <w:rPr>
                <w:lang w:eastAsia="fr-FR"/>
              </w:rPr>
              <w:t>dBr</w:t>
            </w:r>
            <w:proofErr w:type="spellEnd"/>
            <w:r>
              <w:rPr>
                <w:lang w:eastAsia="fr-FR"/>
              </w:rPr>
              <w:t>) is applied.</w:t>
            </w:r>
          </w:p>
          <w:p w14:paraId="35720C42" w14:textId="77777777" w:rsidR="0038471B" w:rsidRDefault="0038471B" w:rsidP="00784EF1">
            <w:pPr>
              <w:pStyle w:val="TAN"/>
              <w:rPr>
                <w:lang w:val="en-GB" w:eastAsia="en-GB"/>
              </w:rPr>
            </w:pPr>
            <w:r>
              <w:rPr>
                <w:lang w:eastAsia="fr-FR"/>
              </w:rPr>
              <w:t xml:space="preserve">NOTE 4:   The carrier leakage exceptions from Table 6.4F.2.3-1 apply and carrier leakage contribution shall be removed prior to setting the 0dBr level of the mask, the reported carrier frequency location in </w:t>
            </w:r>
            <w:proofErr w:type="spellStart"/>
            <w:r>
              <w:rPr>
                <w:i/>
                <w:iCs/>
                <w:lang w:eastAsia="fr-FR"/>
              </w:rPr>
              <w:t>txDirectCurrentLocation</w:t>
            </w:r>
            <w:proofErr w:type="spellEnd"/>
            <w:r>
              <w:rPr>
                <w:lang w:eastAsia="fr-FR"/>
              </w:rPr>
              <w:t xml:space="preserve"> field of the </w:t>
            </w:r>
            <w:proofErr w:type="spellStart"/>
            <w:r>
              <w:rPr>
                <w:i/>
                <w:iCs/>
                <w:lang w:eastAsia="fr-FR"/>
              </w:rPr>
              <w:t>UplinkTxDirectCurrentBWP</w:t>
            </w:r>
            <w:proofErr w:type="spellEnd"/>
            <w:r>
              <w:rPr>
                <w:lang w:eastAsia="fr-FR"/>
              </w:rPr>
              <w:t xml:space="preserve"> can be used to cancel the carrier leakage contribution. If </w:t>
            </w:r>
            <w:proofErr w:type="spellStart"/>
            <w:r>
              <w:rPr>
                <w:i/>
                <w:iCs/>
                <w:lang w:eastAsia="fr-FR"/>
              </w:rPr>
              <w:t>txDirectCurrentLocation</w:t>
            </w:r>
            <w:proofErr w:type="spellEnd"/>
            <w:r>
              <w:rPr>
                <w:lang w:eastAsia="fr-FR"/>
              </w:rPr>
              <w:t xml:space="preserve"> is not available or is reported with value 3300 or 3301, a carrier frequency location at the center of the channel shall be assumed.</w:t>
            </w:r>
          </w:p>
        </w:tc>
      </w:tr>
    </w:tbl>
    <w:p w14:paraId="19B84A2D" w14:textId="59D3C223" w:rsidR="0038471B" w:rsidRDefault="0038471B" w:rsidP="0076565A">
      <w:pPr>
        <w:spacing w:after="0"/>
        <w:rPr>
          <w:rFonts w:eastAsia="SimSun"/>
          <w:lang w:eastAsia="zh-CN"/>
        </w:rPr>
      </w:pPr>
    </w:p>
    <w:p w14:paraId="4E026AC0" w14:textId="4FB81C5D" w:rsidR="0038471B" w:rsidRPr="00A808BC" w:rsidRDefault="0038471B" w:rsidP="0038471B">
      <w:pPr>
        <w:pStyle w:val="Heading2"/>
        <w:spacing w:after="240"/>
        <w:rPr>
          <w:lang w:eastAsia="zh-CN"/>
        </w:rPr>
      </w:pPr>
      <w:r>
        <w:rPr>
          <w:lang w:eastAsia="zh-CN"/>
        </w:rPr>
        <w:t>Partially allocated sub-band 100MHz channel SEM</w:t>
      </w:r>
    </w:p>
    <w:p w14:paraId="55995860" w14:textId="21665A4C" w:rsidR="0038471B" w:rsidRDefault="0038471B" w:rsidP="0038471B">
      <w:pPr>
        <w:spacing w:after="0"/>
      </w:pPr>
      <w:bookmarkStart w:id="3" w:name="_Toc61367683"/>
      <w:bookmarkStart w:id="4" w:name="_Toc61373066"/>
      <w:bookmarkStart w:id="5" w:name="_Toc68231015"/>
      <w:bookmarkStart w:id="6" w:name="_Toc69084428"/>
      <w:bookmarkStart w:id="7" w:name="_Toc75467438"/>
      <w:bookmarkStart w:id="8" w:name="_Toc76509460"/>
      <w:bookmarkStart w:id="9" w:name="_Toc76718450"/>
      <w:r>
        <w:t>As discussed in [2], for partially allocated bub-bands, there are two cases:</w:t>
      </w:r>
    </w:p>
    <w:p w14:paraId="20BA2D3E" w14:textId="73E70FC5" w:rsidR="0038471B" w:rsidRDefault="0038471B" w:rsidP="0038471B">
      <w:pPr>
        <w:pStyle w:val="ListParagraph"/>
        <w:numPr>
          <w:ilvl w:val="0"/>
          <w:numId w:val="24"/>
        </w:numPr>
        <w:spacing w:after="0"/>
      </w:pPr>
      <w:r>
        <w:t>Edge punctures where with 100MHz there can be up to 4 punctures which was previously limited to 3 at 80MHz</w:t>
      </w:r>
    </w:p>
    <w:p w14:paraId="69B7175B" w14:textId="79BC5746" w:rsidR="0038471B" w:rsidRDefault="0038471B" w:rsidP="0038471B">
      <w:pPr>
        <w:pStyle w:val="ListParagraph"/>
        <w:numPr>
          <w:ilvl w:val="0"/>
          <w:numId w:val="24"/>
        </w:numPr>
        <w:spacing w:after="0"/>
      </w:pPr>
      <w:r>
        <w:t>Interior punctures where with 100MHz there can be up to 4 punctures which was previously limited to 3 at 80MHz</w:t>
      </w:r>
    </w:p>
    <w:p w14:paraId="10BE908E" w14:textId="77777777" w:rsidR="0038471B" w:rsidRDefault="0038471B" w:rsidP="0038471B">
      <w:pPr>
        <w:spacing w:after="0"/>
      </w:pPr>
    </w:p>
    <w:p w14:paraId="58E8C60B" w14:textId="6E2A06BB" w:rsidR="0038471B" w:rsidRDefault="0038471B" w:rsidP="0038471B">
      <w:pPr>
        <w:spacing w:after="0"/>
      </w:pPr>
      <w:r>
        <w:t xml:space="preserve">Still both edge and </w:t>
      </w:r>
      <w:r w:rsidR="00553B58">
        <w:t>interior punctures</w:t>
      </w:r>
      <w:r w:rsidR="00B22737">
        <w:t>’</w:t>
      </w:r>
      <w:r w:rsidR="00553B58">
        <w:t xml:space="preserve"> </w:t>
      </w:r>
      <w:r w:rsidR="00B71353">
        <w:t xml:space="preserve">100MHz cases can be </w:t>
      </w:r>
      <w:r w:rsidR="00553B58">
        <w:t xml:space="preserve">constructed along the same principles </w:t>
      </w:r>
      <w:r w:rsidR="00B71353">
        <w:t xml:space="preserve">that </w:t>
      </w:r>
      <w:r w:rsidR="00553B58">
        <w:t>are specified in section 6.5F.2.2.1 of 38.101-1 reproduced below</w:t>
      </w:r>
      <w:r w:rsidR="00B22737">
        <w:t>.</w:t>
      </w:r>
    </w:p>
    <w:p w14:paraId="488439CC" w14:textId="058B8DF9" w:rsidR="00B20897" w:rsidRPr="00A1115A" w:rsidRDefault="00553B58" w:rsidP="00B20897">
      <w:pPr>
        <w:pStyle w:val="Heading5"/>
        <w:numPr>
          <w:ilvl w:val="0"/>
          <w:numId w:val="0"/>
        </w:numPr>
        <w:spacing w:after="240"/>
      </w:pPr>
      <w:bookmarkStart w:id="10" w:name="_Toc61367684"/>
      <w:bookmarkStart w:id="11" w:name="_Toc61373067"/>
      <w:bookmarkStart w:id="12" w:name="_Toc68231016"/>
      <w:bookmarkStart w:id="13" w:name="_Toc69084429"/>
      <w:bookmarkStart w:id="14" w:name="_Toc75467439"/>
      <w:bookmarkStart w:id="15" w:name="_Toc76509461"/>
      <w:bookmarkStart w:id="16" w:name="_Toc76718451"/>
      <w:bookmarkEnd w:id="3"/>
      <w:bookmarkEnd w:id="4"/>
      <w:bookmarkEnd w:id="5"/>
      <w:bookmarkEnd w:id="6"/>
      <w:bookmarkEnd w:id="7"/>
      <w:bookmarkEnd w:id="8"/>
      <w:bookmarkEnd w:id="9"/>
      <w:r>
        <w:t>“</w:t>
      </w:r>
      <w:r w:rsidR="00B20897" w:rsidRPr="00A1115A">
        <w:t>6.5F.2.2.1</w:t>
      </w:r>
      <w:r w:rsidR="00B20897" w:rsidRPr="00A1115A">
        <w:tab/>
      </w:r>
      <w:bookmarkStart w:id="17" w:name="_Hlk40188429"/>
      <w:r w:rsidR="00B20897" w:rsidRPr="00A1115A">
        <w:t>Spectrum emission mask for non-transmitted channels</w:t>
      </w:r>
      <w:bookmarkEnd w:id="10"/>
      <w:bookmarkEnd w:id="11"/>
      <w:bookmarkEnd w:id="12"/>
      <w:bookmarkEnd w:id="13"/>
      <w:bookmarkEnd w:id="14"/>
      <w:bookmarkEnd w:id="15"/>
      <w:bookmarkEnd w:id="16"/>
      <w:bookmarkEnd w:id="17"/>
    </w:p>
    <w:p w14:paraId="13AA212D" w14:textId="77777777" w:rsidR="00B20897" w:rsidRPr="00A1115A" w:rsidRDefault="00B20897" w:rsidP="00B20897">
      <w:r w:rsidRPr="00A1115A">
        <w:t xml:space="preserve">In the case of non-transmitted 20 MHz channel(s) on the edges of an assigned channel bandwidth the spectrum emission mask for operation with shared spectrum channel access, specified in </w:t>
      </w:r>
      <w:r w:rsidRPr="00A1115A">
        <w:rPr>
          <w:rFonts w:cs="v5.0.0"/>
        </w:rPr>
        <w:t xml:space="preserve">Table 6.5F.2.2-1, is applied by using the total bandwidth of the remaining transmitted channels. The spectrum emission mask for non-transmitted channels </w:t>
      </w:r>
      <w:r w:rsidRPr="00A1115A">
        <w:t xml:space="preserve">is floored at -28dBr. </w:t>
      </w:r>
    </w:p>
    <w:p w14:paraId="00C77B91" w14:textId="77777777" w:rsidR="00B20897" w:rsidRDefault="00B20897" w:rsidP="00B20897">
      <w:pPr>
        <w:rPr>
          <w:rFonts w:cs="v5.0.0"/>
        </w:rPr>
      </w:pPr>
      <w:r w:rsidRPr="00A1115A">
        <w:t xml:space="preserve">The </w:t>
      </w:r>
      <w:r w:rsidRPr="00A1115A">
        <w:rPr>
          <w:rFonts w:cs="v5.0.0"/>
        </w:rPr>
        <w:t xml:space="preserve">relative power of any UE emission shall not exceed the most stringent levels given by the </w:t>
      </w:r>
      <w:r w:rsidRPr="00A1115A">
        <w:t>spectrum emission mask</w:t>
      </w:r>
      <w:r w:rsidRPr="00A1115A">
        <w:rPr>
          <w:rFonts w:cs="v5.0.0"/>
        </w:rPr>
        <w:t xml:space="preserve"> </w:t>
      </w:r>
      <w:r w:rsidRPr="00A1115A">
        <w:t>for operation with shared spectrum channel access</w:t>
      </w:r>
      <w:r w:rsidRPr="00A1115A">
        <w:rPr>
          <w:rFonts w:cs="v5.0.0"/>
        </w:rPr>
        <w:t xml:space="preserve"> with full channel bandwidth and the spectrum emission mask for non-transmitted channels with the channel bandwidth of the transmitted channels in the case of non-transmitted channels at the edge of an assigned channel bandwidth. </w:t>
      </w:r>
    </w:p>
    <w:p w14:paraId="7FDC1056" w14:textId="635D5418" w:rsidR="00B20897" w:rsidRDefault="00B20897" w:rsidP="00B20897">
      <w:r w:rsidRPr="00A1115A">
        <w:lastRenderedPageBreak/>
        <w:t xml:space="preserve">An exception to the </w:t>
      </w:r>
      <w:r w:rsidRPr="00A1115A">
        <w:rPr>
          <w:rFonts w:cs="v5.0.0"/>
        </w:rPr>
        <w:t xml:space="preserve">spectrum emission mask for non-transmitted channels </w:t>
      </w:r>
      <w:r w:rsidRPr="00A1115A">
        <w:t xml:space="preserve">allows a single [2] MHz bandwidth to extend to [-28] </w:t>
      </w:r>
      <w:proofErr w:type="spellStart"/>
      <w:r w:rsidRPr="00A1115A">
        <w:t>dBc</w:t>
      </w:r>
      <w:proofErr w:type="spellEnd"/>
      <w:r w:rsidRPr="00A1115A">
        <w:t xml:space="preserve"> relative to total transmit power, or [-20] </w:t>
      </w:r>
      <w:proofErr w:type="spellStart"/>
      <w:r w:rsidRPr="00A1115A">
        <w:t>dBm</w:t>
      </w:r>
      <w:proofErr w:type="spellEnd"/>
      <w:r w:rsidRPr="00A1115A">
        <w:t xml:space="preserve">, whichever is the greatest. </w:t>
      </w:r>
      <w:r w:rsidR="00553B58">
        <w:t>“</w:t>
      </w:r>
    </w:p>
    <w:p w14:paraId="32218235" w14:textId="49963519" w:rsidR="00E56F1B" w:rsidRDefault="00553B58" w:rsidP="00B20897">
      <w:r>
        <w:t>The 100MHz channel bandwidth being subject to both image and carrier leakage as for the other wideband operation cases, the -28dBr floor (related to image leakage) and the -28dBc exception (related to carrier leakage</w:t>
      </w:r>
      <w:r w:rsidR="00B71353">
        <w:t>) shall apply.</w:t>
      </w:r>
    </w:p>
    <w:p w14:paraId="713D8D3C" w14:textId="77777777" w:rsidR="00E56F1B" w:rsidRDefault="00E56F1B" w:rsidP="00E56F1B">
      <w:pPr>
        <w:spacing w:after="0"/>
      </w:pPr>
      <w:r>
        <w:t>Regarding the discussion in [2] about the SNR for a victim 20MHz channel centered at the 100MHz channel which has 3 interior punctures:</w:t>
      </w:r>
    </w:p>
    <w:p w14:paraId="46806C93" w14:textId="3D55BAF4" w:rsidR="00E56F1B" w:rsidRDefault="00E56F1B" w:rsidP="00E56F1B">
      <w:pPr>
        <w:pStyle w:val="ListParagraph"/>
        <w:numPr>
          <w:ilvl w:val="0"/>
          <w:numId w:val="26"/>
        </w:numPr>
      </w:pPr>
      <w:r>
        <w:t>First</w:t>
      </w:r>
      <w:r w:rsidR="007254C5">
        <w:t>,</w:t>
      </w:r>
      <w:r>
        <w:t xml:space="preserve"> the -28dBr limit can apply and already supports a good SNR. </w:t>
      </w:r>
    </w:p>
    <w:p w14:paraId="227FEB02" w14:textId="28F1A606" w:rsidR="00E56F1B" w:rsidRDefault="007254C5" w:rsidP="00E56F1B">
      <w:pPr>
        <w:pStyle w:val="ListParagraph"/>
        <w:numPr>
          <w:ilvl w:val="0"/>
          <w:numId w:val="26"/>
        </w:numPr>
      </w:pPr>
      <w:r>
        <w:t xml:space="preserve">Second, for 100MHz case with 3 interior puncture (10001 configuration) there are no image leakage falling in the </w:t>
      </w:r>
      <w:proofErr w:type="spellStart"/>
      <w:r>
        <w:t>the</w:t>
      </w:r>
      <w:proofErr w:type="spellEnd"/>
      <w:r>
        <w:t xml:space="preserve"> gap thus the true interference to a 20MHz victim channel centered in the middle of the 100MHz channel will be much lower and the -31dBr or better level can be considered</w:t>
      </w:r>
    </w:p>
    <w:p w14:paraId="22E792A6" w14:textId="3A904DEF" w:rsidR="007254C5" w:rsidRDefault="007254C5" w:rsidP="00E56F1B">
      <w:pPr>
        <w:pStyle w:val="ListParagraph"/>
        <w:numPr>
          <w:ilvl w:val="0"/>
          <w:numId w:val="26"/>
        </w:numPr>
      </w:pPr>
      <w:r>
        <w:t xml:space="preserve">Nevertheless, since the 3 interior puncture mask could be applicable to channel bandwidth &gt;100MHz, it should be made generic and keep the -28dBr limit </w:t>
      </w:r>
      <w:r w:rsidR="00CC16E1">
        <w:t xml:space="preserve">in place accounting for the fact that it is there to accommodate image leakage but that better performance is achieved in many sub-bands where the image leakage is not possible. </w:t>
      </w:r>
    </w:p>
    <w:p w14:paraId="220AAFF9" w14:textId="189D7267" w:rsidR="00CC16E1" w:rsidRDefault="00CC16E1" w:rsidP="00CC16E1">
      <w:pPr>
        <w:pStyle w:val="Heading2"/>
        <w:spacing w:after="240"/>
        <w:rPr>
          <w:lang w:eastAsia="zh-CN"/>
        </w:rPr>
      </w:pPr>
      <w:r>
        <w:rPr>
          <w:lang w:eastAsia="zh-CN"/>
        </w:rPr>
        <w:t>Proposal for 100MHz SEM</w:t>
      </w:r>
    </w:p>
    <w:p w14:paraId="42D3A242" w14:textId="20D24EC2" w:rsidR="00CC16E1" w:rsidRPr="00CC16E1" w:rsidRDefault="00CC16E1" w:rsidP="00CC16E1">
      <w:pPr>
        <w:rPr>
          <w:lang w:val="en-GB" w:eastAsia="zh-CN"/>
        </w:rPr>
      </w:pPr>
      <w:r>
        <w:rPr>
          <w:lang w:val="en-GB" w:eastAsia="zh-CN"/>
        </w:rPr>
        <w:t xml:space="preserve">Given the above discussion, we do not see the need for further changes than accommodating 100MHz channel bandwidth in Table </w:t>
      </w:r>
      <w:r w:rsidR="0076565A">
        <w:t>6.5F.2.2-1 and to be even more generic it can be simplified by adopting equation based SEM simplification already agreed for NR SEM.</w:t>
      </w:r>
      <w:r w:rsidR="00DD23BF">
        <w:t xml:space="preserve"> also it is proposed to remove the square brackets to the </w:t>
      </w:r>
      <w:proofErr w:type="gramStart"/>
      <w:r w:rsidR="00DD23BF">
        <w:t>100kHz</w:t>
      </w:r>
      <w:proofErr w:type="gramEnd"/>
      <w:r w:rsidR="00DD23BF">
        <w:t xml:space="preserve"> measurement BW</w:t>
      </w:r>
    </w:p>
    <w:p w14:paraId="6E12AFA9" w14:textId="77777777" w:rsidR="00CC16E1" w:rsidRPr="00CC16E1" w:rsidRDefault="00CC16E1" w:rsidP="00CC16E1">
      <w:pPr>
        <w:spacing w:after="0"/>
        <w:rPr>
          <w:b/>
        </w:rPr>
      </w:pPr>
      <w:r w:rsidRPr="00CC16E1">
        <w:rPr>
          <w:b/>
        </w:rPr>
        <w:t>Proposal:</w:t>
      </w:r>
    </w:p>
    <w:p w14:paraId="2A809617" w14:textId="7A85F2B8" w:rsidR="00CC16E1" w:rsidRPr="00CC16E1" w:rsidRDefault="00CC16E1" w:rsidP="00CC16E1">
      <w:pPr>
        <w:pStyle w:val="ListParagraph"/>
        <w:numPr>
          <w:ilvl w:val="0"/>
          <w:numId w:val="27"/>
        </w:numPr>
        <w:spacing w:after="0"/>
        <w:rPr>
          <w:b/>
        </w:rPr>
      </w:pPr>
      <w:r w:rsidRPr="00CC16E1">
        <w:rPr>
          <w:b/>
        </w:rPr>
        <w:t xml:space="preserve">100MHz channel SEM is simply introduced by changing Table 6.5F.2.2-1 in 38.101-1 to its simplified version </w:t>
      </w:r>
      <w:r w:rsidR="00DD23BF">
        <w:rPr>
          <w:b/>
        </w:rPr>
        <w:t>in chapter 2.1 with brackets removed</w:t>
      </w:r>
    </w:p>
    <w:p w14:paraId="71D4037E" w14:textId="27568453" w:rsidR="00CC16E1" w:rsidRPr="00CC16E1" w:rsidRDefault="00CC16E1" w:rsidP="00CC16E1">
      <w:pPr>
        <w:pStyle w:val="ListParagraph"/>
        <w:numPr>
          <w:ilvl w:val="0"/>
          <w:numId w:val="27"/>
        </w:numPr>
        <w:spacing w:after="0"/>
        <w:rPr>
          <w:b/>
        </w:rPr>
      </w:pPr>
      <w:r w:rsidRPr="00CC16E1">
        <w:rPr>
          <w:b/>
        </w:rPr>
        <w:t>The rest of the specification does not need changes and the image leakage exception to -28dBr and the carrier leakage exception to -28dBc is maintained as already specified in section 6.5F.2.2.1 in 38.101-1</w:t>
      </w:r>
    </w:p>
    <w:p w14:paraId="7BE54F94" w14:textId="77777777" w:rsidR="00305289" w:rsidRDefault="00305289" w:rsidP="00305289">
      <w:pPr>
        <w:pStyle w:val="Heading1"/>
      </w:pPr>
      <w:r>
        <w:t>Conclusions</w:t>
      </w:r>
    </w:p>
    <w:p w14:paraId="46C81C61" w14:textId="2CDBAEF6" w:rsidR="00CF69FD" w:rsidRDefault="00305289" w:rsidP="00870C60">
      <w:pPr>
        <w:spacing w:after="0"/>
        <w:jc w:val="both"/>
      </w:pPr>
      <w:r>
        <w:t xml:space="preserve">In this contribution, </w:t>
      </w:r>
      <w:r w:rsidR="0076565A">
        <w:t>we discuss the introduction of 100MHz SEM for both fully allocated and partially allocated sub-bands including discussing some aspects discussed in [2] and make the following proposal.</w:t>
      </w:r>
    </w:p>
    <w:p w14:paraId="24D224D4" w14:textId="77777777" w:rsidR="0076565A" w:rsidRDefault="0076565A" w:rsidP="00870C60">
      <w:pPr>
        <w:spacing w:after="0"/>
        <w:jc w:val="both"/>
      </w:pPr>
    </w:p>
    <w:p w14:paraId="41534030" w14:textId="77777777" w:rsidR="0076565A" w:rsidRPr="00CC16E1" w:rsidRDefault="0076565A" w:rsidP="0076565A">
      <w:pPr>
        <w:spacing w:after="0"/>
        <w:rPr>
          <w:b/>
        </w:rPr>
      </w:pPr>
      <w:r w:rsidRPr="00CC16E1">
        <w:rPr>
          <w:b/>
        </w:rPr>
        <w:t>Proposal:</w:t>
      </w:r>
    </w:p>
    <w:p w14:paraId="31D25A30" w14:textId="143DE1E1" w:rsidR="0076565A" w:rsidRPr="00CC16E1" w:rsidRDefault="0076565A" w:rsidP="0076565A">
      <w:pPr>
        <w:pStyle w:val="ListParagraph"/>
        <w:numPr>
          <w:ilvl w:val="0"/>
          <w:numId w:val="27"/>
        </w:numPr>
        <w:spacing w:after="0"/>
        <w:rPr>
          <w:b/>
        </w:rPr>
      </w:pPr>
      <w:r w:rsidRPr="00CC16E1">
        <w:rPr>
          <w:b/>
        </w:rPr>
        <w:t>100MHz channel SEM is simply introduced by changing Table 6.5F.2.2-1 in 38.101-1 to its simplified version below</w:t>
      </w:r>
      <w:r w:rsidR="00DD23BF">
        <w:rPr>
          <w:b/>
        </w:rPr>
        <w:t xml:space="preserve"> with brackets removed</w:t>
      </w:r>
    </w:p>
    <w:p w14:paraId="6DDABABA" w14:textId="77777777" w:rsidR="0076565A" w:rsidRPr="00CC16E1" w:rsidRDefault="0076565A" w:rsidP="0076565A">
      <w:pPr>
        <w:pStyle w:val="ListParagraph"/>
        <w:numPr>
          <w:ilvl w:val="0"/>
          <w:numId w:val="27"/>
        </w:numPr>
        <w:spacing w:after="0"/>
        <w:rPr>
          <w:b/>
        </w:rPr>
      </w:pPr>
      <w:r w:rsidRPr="00CC16E1">
        <w:rPr>
          <w:b/>
        </w:rPr>
        <w:t>The rest of the specification does not need changes and the image leakage exception to -28dBr and the carrier leakage exception to -28dBc is maintained as already specified in section 6.5F.2.2.1 in 38.101-1</w:t>
      </w:r>
    </w:p>
    <w:p w14:paraId="7B3A62DC" w14:textId="77777777" w:rsidR="0076565A" w:rsidRPr="0038471B" w:rsidRDefault="0076565A" w:rsidP="0076565A">
      <w:pPr>
        <w:pStyle w:val="TH"/>
      </w:pPr>
      <w:r>
        <w:t>Table 6.5F.2.2-1: Spectrum emission mask for operation with shared spectrum channel access</w:t>
      </w:r>
    </w:p>
    <w:tbl>
      <w:tblPr>
        <w:tblpPr w:leftFromText="180" w:rightFromText="180" w:vertAnchor="text" w:tblpXSpec="center"/>
        <w:tblW w:w="8290" w:type="dxa"/>
        <w:tblCellMar>
          <w:left w:w="0" w:type="dxa"/>
          <w:right w:w="0" w:type="dxa"/>
        </w:tblCellMar>
        <w:tblLook w:val="04A0" w:firstRow="1" w:lastRow="0" w:firstColumn="1" w:lastColumn="0" w:noHBand="0" w:noVBand="1"/>
      </w:tblPr>
      <w:tblGrid>
        <w:gridCol w:w="2350"/>
        <w:gridCol w:w="4500"/>
        <w:gridCol w:w="1440"/>
      </w:tblGrid>
      <w:tr w:rsidR="0076565A" w14:paraId="44B4BF2B" w14:textId="77777777" w:rsidTr="00717BD1">
        <w:trPr>
          <w:cantSplit/>
          <w:trHeight w:val="48"/>
        </w:trPr>
        <w:tc>
          <w:tcPr>
            <w:tcW w:w="8290" w:type="dxa"/>
            <w:gridSpan w:val="3"/>
            <w:tcBorders>
              <w:top w:val="single" w:sz="4" w:space="0" w:color="auto"/>
              <w:left w:val="single" w:sz="8" w:space="0" w:color="auto"/>
              <w:bottom w:val="single" w:sz="8" w:space="0" w:color="auto"/>
              <w:right w:val="single" w:sz="8" w:space="0" w:color="auto"/>
            </w:tcBorders>
            <w:hideMark/>
          </w:tcPr>
          <w:p w14:paraId="09EF8457" w14:textId="77777777" w:rsidR="0076565A" w:rsidRDefault="0076565A" w:rsidP="00784EF1">
            <w:pPr>
              <w:pStyle w:val="TAH"/>
              <w:rPr>
                <w:lang w:val="en-GB" w:eastAsia="en-GB"/>
              </w:rPr>
            </w:pPr>
            <w:r>
              <w:rPr>
                <w:lang w:eastAsia="en-GB"/>
              </w:rPr>
              <w:t>Spectrum emission limit (</w:t>
            </w:r>
            <w:proofErr w:type="spellStart"/>
            <w:r>
              <w:rPr>
                <w:lang w:eastAsia="en-GB"/>
              </w:rPr>
              <w:t>dBr</w:t>
            </w:r>
            <w:proofErr w:type="spellEnd"/>
            <w:r>
              <w:rPr>
                <w:lang w:eastAsia="en-GB"/>
              </w:rPr>
              <w:t>) / Channel bandwidth (CBW)</w:t>
            </w:r>
          </w:p>
        </w:tc>
      </w:tr>
      <w:tr w:rsidR="00717BD1" w14:paraId="070E73DC" w14:textId="77777777" w:rsidTr="00717BD1">
        <w:trPr>
          <w:cantSplit/>
          <w:trHeight w:val="473"/>
        </w:trPr>
        <w:tc>
          <w:tcPr>
            <w:tcW w:w="23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16ABFC" w14:textId="77777777" w:rsidR="0076565A" w:rsidRDefault="0076565A" w:rsidP="00784EF1">
            <w:pPr>
              <w:pStyle w:val="TAH"/>
              <w:rPr>
                <w:rFonts w:eastAsiaTheme="minorHAnsi"/>
                <w:szCs w:val="18"/>
                <w:lang w:eastAsia="en-GB"/>
              </w:rPr>
            </w:pPr>
            <w:proofErr w:type="spellStart"/>
            <w:r>
              <w:rPr>
                <w:lang w:eastAsia="en-GB"/>
              </w:rPr>
              <w:t>Δf</w:t>
            </w:r>
            <w:r>
              <w:rPr>
                <w:vertAlign w:val="subscript"/>
                <w:lang w:eastAsia="en-GB"/>
              </w:rPr>
              <w:t>OOB</w:t>
            </w:r>
            <w:proofErr w:type="spellEnd"/>
          </w:p>
          <w:p w14:paraId="31D0DACF" w14:textId="77777777" w:rsidR="0076565A" w:rsidRDefault="0076565A" w:rsidP="00784EF1">
            <w:pPr>
              <w:pStyle w:val="TAH"/>
              <w:rPr>
                <w:lang w:val="en-GB" w:eastAsia="en-GB"/>
              </w:rPr>
            </w:pPr>
            <w:r>
              <w:rPr>
                <w:lang w:eastAsia="en-GB"/>
              </w:rPr>
              <w:t>(MHz)</w:t>
            </w:r>
          </w:p>
        </w:tc>
        <w:tc>
          <w:tcPr>
            <w:tcW w:w="4500" w:type="dxa"/>
            <w:tcBorders>
              <w:top w:val="nil"/>
              <w:left w:val="nil"/>
              <w:bottom w:val="single" w:sz="8" w:space="0" w:color="auto"/>
              <w:right w:val="single" w:sz="8" w:space="0" w:color="auto"/>
            </w:tcBorders>
            <w:hideMark/>
          </w:tcPr>
          <w:p w14:paraId="3466FF22" w14:textId="77777777" w:rsidR="0076565A" w:rsidRDefault="0076565A" w:rsidP="00784EF1">
            <w:pPr>
              <w:pStyle w:val="TAH"/>
              <w:rPr>
                <w:lang w:val="en-GB" w:eastAsia="en-GB"/>
              </w:rPr>
            </w:pPr>
            <w:r>
              <w:rPr>
                <w:lang w:eastAsia="en-GB"/>
              </w:rPr>
              <w:t>10, 20, 40, 60, 80, 100 MHz</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6E567D36" w14:textId="77777777" w:rsidR="0076565A" w:rsidRDefault="0076565A" w:rsidP="00784EF1">
            <w:pPr>
              <w:pStyle w:val="TAH"/>
              <w:rPr>
                <w:lang w:val="en-GB" w:eastAsia="en-GB"/>
              </w:rPr>
            </w:pPr>
            <w:r>
              <w:rPr>
                <w:lang w:eastAsia="en-GB"/>
              </w:rPr>
              <w:t>Measurement bandwidth</w:t>
            </w:r>
            <w:r>
              <w:rPr>
                <w:lang w:eastAsia="en-GB"/>
              </w:rPr>
              <w:br/>
              <w:t>(MBW)</w:t>
            </w:r>
          </w:p>
        </w:tc>
      </w:tr>
      <w:tr w:rsidR="00717BD1" w14:paraId="78270DB6" w14:textId="77777777" w:rsidTr="00717BD1">
        <w:tc>
          <w:tcPr>
            <w:tcW w:w="23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7F807C" w14:textId="3CC1D007" w:rsidR="00717BD1" w:rsidRDefault="00717BD1" w:rsidP="00717BD1">
            <w:pPr>
              <w:pStyle w:val="TAC"/>
              <w:rPr>
                <w:lang w:val="en-GB" w:eastAsia="en-GB"/>
              </w:rPr>
            </w:pPr>
            <w:r>
              <w:rPr>
                <w:lang w:eastAsia="en-GB"/>
              </w:rPr>
              <w:t>± 0-1</w:t>
            </w:r>
          </w:p>
        </w:tc>
        <w:tc>
          <w:tcPr>
            <w:tcW w:w="4500" w:type="dxa"/>
            <w:tcBorders>
              <w:top w:val="nil"/>
              <w:left w:val="nil"/>
              <w:bottom w:val="single" w:sz="8" w:space="0" w:color="auto"/>
              <w:right w:val="single" w:sz="8" w:space="0" w:color="auto"/>
            </w:tcBorders>
            <w:vAlign w:val="center"/>
            <w:hideMark/>
          </w:tcPr>
          <w:p w14:paraId="4670EC6A" w14:textId="79EE806F" w:rsidR="00717BD1" w:rsidRDefault="00717BD1" w:rsidP="00717BD1">
            <w:pPr>
              <w:pStyle w:val="TAC"/>
              <w:rPr>
                <w:lang w:eastAsia="en-GB"/>
              </w:rPr>
            </w:pPr>
            <m:oMathPara>
              <m:oMath>
                <m:r>
                  <m:rPr>
                    <m:sty m:val="bi"/>
                  </m:rPr>
                  <w:rPr>
                    <w:rFonts w:ascii="Cambria Math" w:hAnsi="Cambria Math"/>
                    <w:lang w:eastAsia="en-GB"/>
                  </w:rPr>
                  <m:t xml:space="preserve">-20 </m:t>
                </m:r>
                <m:d>
                  <m:dPr>
                    <m:begChr m:val="|"/>
                    <m:endChr m:val="|"/>
                    <m:ctrlPr>
                      <w:rPr>
                        <w:rFonts w:ascii="Cambria Math" w:eastAsiaTheme="minorHAnsi" w:hAnsi="Cambria Math" w:cs="Arial"/>
                        <w:b/>
                        <w:bCs/>
                        <w:i/>
                        <w:iCs/>
                        <w:szCs w:val="18"/>
                        <w:lang w:eastAsia="en-GB"/>
                      </w:rPr>
                    </m:ctrlPr>
                  </m:dPr>
                  <m:e>
                    <m:sSub>
                      <m:sSubPr>
                        <m:ctrlPr>
                          <w:rPr>
                            <w:rFonts w:ascii="Cambria Math" w:eastAsiaTheme="minorHAnsi" w:hAnsi="Cambria Math" w:cs="Arial"/>
                            <w:b/>
                            <w:bCs/>
                            <w:i/>
                            <w:iCs/>
                            <w:szCs w:val="18"/>
                            <w:lang w:eastAsia="en-GB"/>
                          </w:rPr>
                        </m:ctrlPr>
                      </m:sSubPr>
                      <m:e>
                        <m:r>
                          <m:rPr>
                            <m:sty m:val="bi"/>
                          </m:rPr>
                          <w:rPr>
                            <w:rFonts w:ascii="Cambria Math" w:hAnsi="Cambria Math"/>
                            <w:lang w:eastAsia="en-GB"/>
                          </w:rPr>
                          <m:t>∆f</m:t>
                        </m:r>
                      </m:e>
                      <m:sub>
                        <m:r>
                          <m:rPr>
                            <m:sty m:val="bi"/>
                          </m:rPr>
                          <w:rPr>
                            <w:rFonts w:ascii="Cambria Math" w:hAnsi="Cambria Math"/>
                            <w:lang w:eastAsia="en-GB"/>
                          </w:rPr>
                          <m:t>OOB</m:t>
                        </m:r>
                      </m:sub>
                    </m:sSub>
                  </m:e>
                </m:d>
              </m:oMath>
            </m:oMathPara>
          </w:p>
        </w:tc>
        <w:tc>
          <w:tcPr>
            <w:tcW w:w="1440" w:type="dxa"/>
            <w:tcBorders>
              <w:top w:val="nil"/>
              <w:left w:val="nil"/>
              <w:bottom w:val="single" w:sz="8" w:space="0" w:color="auto"/>
              <w:right w:val="single" w:sz="8" w:space="0" w:color="auto"/>
            </w:tcBorders>
            <w:vAlign w:val="center"/>
            <w:hideMark/>
          </w:tcPr>
          <w:p w14:paraId="752A7067" w14:textId="701DF088" w:rsidR="00717BD1" w:rsidRDefault="00717BD1" w:rsidP="00717BD1">
            <w:pPr>
              <w:pStyle w:val="TAC"/>
              <w:rPr>
                <w:lang w:eastAsia="en-GB"/>
              </w:rPr>
            </w:pPr>
            <w:r>
              <w:rPr>
                <w:lang w:eastAsia="en-GB"/>
              </w:rPr>
              <w:t>100kHz</w:t>
            </w:r>
            <w:r>
              <w:rPr>
                <w:vertAlign w:val="superscript"/>
                <w:lang w:eastAsia="en-GB"/>
              </w:rPr>
              <w:t>3</w:t>
            </w:r>
          </w:p>
        </w:tc>
      </w:tr>
      <w:tr w:rsidR="00717BD1" w14:paraId="5F7B7135" w14:textId="77777777" w:rsidTr="00717BD1">
        <w:tc>
          <w:tcPr>
            <w:tcW w:w="23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45E759" w14:textId="2B7429A3" w:rsidR="00717BD1" w:rsidRDefault="00717BD1" w:rsidP="00717BD1">
            <w:pPr>
              <w:pStyle w:val="TAC"/>
              <w:rPr>
                <w:lang w:val="en-GB" w:eastAsia="en-GB"/>
              </w:rPr>
            </w:pPr>
            <w:r>
              <w:rPr>
                <w:lang w:eastAsia="en-GB"/>
              </w:rPr>
              <w:t>± 1-(</w:t>
            </w:r>
            <w:proofErr w:type="spellStart"/>
            <w:r>
              <w:rPr>
                <w:rFonts w:cs="Arial"/>
                <w:szCs w:val="18"/>
                <w:lang w:val="en-GB" w:eastAsia="en-GB"/>
              </w:rPr>
              <w:t>BW</w:t>
            </w:r>
            <w:r>
              <w:rPr>
                <w:rFonts w:cs="Arial"/>
                <w:szCs w:val="18"/>
                <w:vertAlign w:val="subscript"/>
                <w:lang w:val="en-GB" w:eastAsia="en-GB"/>
              </w:rPr>
              <w:t>Channel</w:t>
            </w:r>
            <w:proofErr w:type="spellEnd"/>
            <w:r>
              <w:rPr>
                <w:lang w:eastAsia="en-GB"/>
              </w:rPr>
              <w:t>/2)</w:t>
            </w:r>
          </w:p>
        </w:tc>
        <w:tc>
          <w:tcPr>
            <w:tcW w:w="4500" w:type="dxa"/>
            <w:tcBorders>
              <w:top w:val="nil"/>
              <w:left w:val="nil"/>
              <w:bottom w:val="single" w:sz="8" w:space="0" w:color="auto"/>
              <w:right w:val="single" w:sz="8" w:space="0" w:color="auto"/>
            </w:tcBorders>
            <w:vAlign w:val="center"/>
            <w:hideMark/>
          </w:tcPr>
          <w:p w14:paraId="4DC8E7EB" w14:textId="74EDE5AA" w:rsidR="00717BD1" w:rsidRDefault="00717BD1" w:rsidP="00717BD1">
            <w:pPr>
              <w:pStyle w:val="TAC"/>
              <w:rPr>
                <w:lang w:val="en-GB" w:eastAsia="en-GB"/>
              </w:rPr>
            </w:pPr>
            <m:oMath>
              <m:r>
                <w:rPr>
                  <w:rFonts w:ascii="Cambria Math" w:hAnsi="Cambria Math" w:cs="Arial"/>
                  <w:sz w:val="16"/>
                  <w:szCs w:val="16"/>
                  <w:lang w:eastAsia="en-GB"/>
                </w:rPr>
                <m:t>-20-</m:t>
              </m:r>
              <m:d>
                <m:dPr>
                  <m:ctrlPr>
                    <w:rPr>
                      <w:rFonts w:ascii="Cambria Math" w:eastAsiaTheme="minorHAnsi" w:hAnsi="Cambria Math" w:cs="Arial"/>
                      <w:i/>
                      <w:iCs/>
                      <w:sz w:val="16"/>
                      <w:szCs w:val="16"/>
                      <w:lang w:eastAsia="en-GB"/>
                    </w:rPr>
                  </m:ctrlPr>
                </m:dPr>
                <m:e>
                  <m:f>
                    <m:fPr>
                      <m:type m:val="skw"/>
                      <m:ctrlPr>
                        <w:rPr>
                          <w:rFonts w:ascii="Cambria Math" w:eastAsiaTheme="minorHAnsi" w:hAnsi="Cambria Math" w:cs="Arial"/>
                          <w:i/>
                          <w:iCs/>
                          <w:sz w:val="16"/>
                          <w:szCs w:val="16"/>
                          <w:lang w:eastAsia="en-GB"/>
                        </w:rPr>
                      </m:ctrlPr>
                    </m:fPr>
                    <m:num>
                      <m:r>
                        <w:rPr>
                          <w:rFonts w:ascii="Cambria Math" w:hAnsi="Cambria Math" w:cs="Arial"/>
                          <w:sz w:val="16"/>
                          <w:szCs w:val="16"/>
                          <w:lang w:eastAsia="en-GB"/>
                        </w:rPr>
                        <m:t>8</m:t>
                      </m:r>
                    </m:num>
                    <m:den>
                      <m:r>
                        <m:rPr>
                          <m:sty m:val="bi"/>
                        </m:rPr>
                        <w:rPr>
                          <w:rFonts w:ascii="Cambria Math" w:hAnsi="Cambria Math" w:cs="Arial"/>
                          <w:sz w:val="16"/>
                          <w:szCs w:val="16"/>
                          <w:lang w:eastAsia="en-GB"/>
                        </w:rPr>
                        <m:t>A</m:t>
                      </m:r>
                    </m:den>
                  </m:f>
                </m:e>
              </m:d>
              <m:r>
                <w:rPr>
                  <w:rFonts w:ascii="Cambria Math" w:hAnsi="Cambria Math" w:cs="Arial"/>
                  <w:sz w:val="16"/>
                  <w:szCs w:val="16"/>
                  <w:lang w:val="en-GB" w:eastAsia="en-GB"/>
                </w:rPr>
                <m:t xml:space="preserve"> </m:t>
              </m:r>
              <m:d>
                <m:dPr>
                  <m:begChr m:val="|"/>
                  <m:endChr m:val="|"/>
                  <m:ctrlPr>
                    <w:rPr>
                      <w:rFonts w:ascii="Cambria Math" w:eastAsiaTheme="minorHAnsi" w:hAnsi="Cambria Math" w:cs="Arial"/>
                      <w:i/>
                      <w:iCs/>
                      <w:sz w:val="16"/>
                      <w:szCs w:val="16"/>
                      <w:lang w:eastAsia="en-GB"/>
                    </w:rPr>
                  </m:ctrlPr>
                </m:dPr>
                <m:e>
                  <m:sSub>
                    <m:sSubPr>
                      <m:ctrlPr>
                        <w:rPr>
                          <w:rFonts w:ascii="Cambria Math" w:eastAsiaTheme="minorHAnsi" w:hAnsi="Cambria Math" w:cs="Arial"/>
                          <w:i/>
                          <w:iCs/>
                          <w:sz w:val="16"/>
                          <w:szCs w:val="16"/>
                          <w:lang w:eastAsia="en-GB"/>
                        </w:rPr>
                      </m:ctrlPr>
                    </m:sSubPr>
                    <m:e>
                      <m:r>
                        <m:rPr>
                          <m:sty m:val="bi"/>
                        </m:rPr>
                        <w:rPr>
                          <w:rFonts w:ascii="Cambria Math" w:hAnsi="Cambria Math" w:cs="Arial"/>
                          <w:sz w:val="16"/>
                          <w:szCs w:val="16"/>
                          <w:lang w:eastAsia="en-GB"/>
                        </w:rPr>
                        <m:t>∆f</m:t>
                      </m:r>
                    </m:e>
                    <m:sub>
                      <m:r>
                        <m:rPr>
                          <m:sty m:val="bi"/>
                        </m:rPr>
                        <w:rPr>
                          <w:rFonts w:ascii="Cambria Math" w:hAnsi="Cambria Math" w:cs="Arial"/>
                          <w:sz w:val="16"/>
                          <w:szCs w:val="16"/>
                          <w:lang w:eastAsia="en-GB"/>
                        </w:rPr>
                        <m:t>OOB</m:t>
                      </m:r>
                    </m:sub>
                  </m:sSub>
                  <m:r>
                    <w:rPr>
                      <w:rFonts w:ascii="Cambria Math" w:hAnsi="Cambria Math" w:cs="Arial"/>
                      <w:sz w:val="16"/>
                      <w:szCs w:val="16"/>
                      <w:lang w:eastAsia="en-GB"/>
                    </w:rPr>
                    <m:t>-1</m:t>
                  </m:r>
                </m:e>
              </m:d>
            </m:oMath>
            <w:r>
              <w:rPr>
                <w:sz w:val="16"/>
                <w:szCs w:val="16"/>
                <w:lang w:eastAsia="en-GB"/>
              </w:rPr>
              <w:t xml:space="preserve"> where </w:t>
            </w:r>
            <m:oMath>
              <m:r>
                <m:rPr>
                  <m:sty m:val="bi"/>
                </m:rPr>
                <w:rPr>
                  <w:rFonts w:ascii="Cambria Math" w:hAnsi="Cambria Math" w:cs="Arial"/>
                  <w:lang w:eastAsia="en-GB"/>
                </w:rPr>
                <m:t>A</m:t>
              </m:r>
              <m:r>
                <w:rPr>
                  <w:rFonts w:ascii="Cambria Math" w:hAnsi="Cambria Math" w:cs="Arial"/>
                  <w:lang w:eastAsia="en-GB"/>
                </w:rPr>
                <m:t xml:space="preserve">= </m:t>
              </m:r>
              <m:d>
                <m:dPr>
                  <m:ctrlPr>
                    <w:rPr>
                      <w:rFonts w:ascii="Cambria Math" w:eastAsiaTheme="minorHAnsi" w:hAnsi="Cambria Math" w:cs="Arial"/>
                      <w:i/>
                      <w:iCs/>
                      <w:sz w:val="16"/>
                      <w:szCs w:val="16"/>
                      <w:lang w:eastAsia="en-GB"/>
                    </w:rPr>
                  </m:ctrlPr>
                </m:dPr>
                <m:e>
                  <m:f>
                    <m:fPr>
                      <m:type m:val="skw"/>
                      <m:ctrlPr>
                        <w:rPr>
                          <w:rFonts w:ascii="Cambria Math" w:eastAsiaTheme="minorHAnsi" w:hAnsi="Cambria Math" w:cs="Arial"/>
                          <w:i/>
                          <w:iCs/>
                          <w:sz w:val="16"/>
                          <w:szCs w:val="16"/>
                          <w:lang w:eastAsia="en-GB"/>
                        </w:rPr>
                      </m:ctrlPr>
                    </m:fPr>
                    <m:num>
                      <m:r>
                        <m:rPr>
                          <m:sty m:val="p"/>
                        </m:rPr>
                        <w:rPr>
                          <w:rFonts w:ascii="Cambria Math" w:hAnsi="Cambria Math" w:cs="Arial"/>
                          <w:szCs w:val="18"/>
                          <w:lang w:val="en-GB" w:eastAsia="en-GB"/>
                        </w:rPr>
                        <m:t>BW</m:t>
                      </m:r>
                      <m:r>
                        <m:rPr>
                          <m:sty m:val="p"/>
                        </m:rPr>
                        <w:rPr>
                          <w:rFonts w:ascii="Cambria Math" w:hAnsi="Cambria Math" w:cs="Arial"/>
                          <w:szCs w:val="18"/>
                          <w:vertAlign w:val="subscript"/>
                          <w:lang w:val="en-GB" w:eastAsia="en-GB"/>
                        </w:rPr>
                        <m:t>Channel</m:t>
                      </m:r>
                    </m:num>
                    <m:den>
                      <m:r>
                        <w:rPr>
                          <w:rFonts w:ascii="Cambria Math" w:hAnsi="Cambria Math" w:cs="Arial"/>
                          <w:sz w:val="16"/>
                          <w:szCs w:val="16"/>
                          <w:lang w:eastAsia="en-GB"/>
                        </w:rPr>
                        <m:t>2</m:t>
                      </m:r>
                    </m:den>
                  </m:f>
                </m:e>
              </m:d>
              <m:r>
                <w:rPr>
                  <w:rFonts w:ascii="Cambria Math" w:hAnsi="Cambria Math" w:cs="Arial"/>
                  <w:sz w:val="16"/>
                  <w:szCs w:val="16"/>
                  <w:lang w:eastAsia="en-GB"/>
                </w:rPr>
                <m:t>-1</m:t>
              </m:r>
            </m:oMath>
          </w:p>
        </w:tc>
        <w:tc>
          <w:tcPr>
            <w:tcW w:w="1440" w:type="dxa"/>
            <w:tcBorders>
              <w:top w:val="nil"/>
              <w:left w:val="nil"/>
              <w:bottom w:val="nil"/>
              <w:right w:val="single" w:sz="8" w:space="0" w:color="auto"/>
            </w:tcBorders>
            <w:tcMar>
              <w:top w:w="0" w:type="dxa"/>
              <w:left w:w="108" w:type="dxa"/>
              <w:bottom w:w="0" w:type="dxa"/>
              <w:right w:w="108" w:type="dxa"/>
            </w:tcMar>
            <w:vAlign w:val="center"/>
            <w:hideMark/>
          </w:tcPr>
          <w:p w14:paraId="2F76111E" w14:textId="77777777" w:rsidR="00717BD1" w:rsidRDefault="00717BD1" w:rsidP="00717BD1">
            <w:pPr>
              <w:pStyle w:val="TAC"/>
              <w:rPr>
                <w:lang w:val="en-GB" w:eastAsia="en-GB"/>
              </w:rPr>
            </w:pPr>
            <w:r>
              <w:rPr>
                <w:lang w:eastAsia="en-GB"/>
              </w:rPr>
              <w:t>1 MHz</w:t>
            </w:r>
          </w:p>
        </w:tc>
      </w:tr>
      <w:tr w:rsidR="00717BD1" w14:paraId="7CF5060A" w14:textId="77777777" w:rsidTr="00717BD1">
        <w:tc>
          <w:tcPr>
            <w:tcW w:w="23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B2D8C5" w14:textId="780A278F" w:rsidR="00717BD1" w:rsidRDefault="00717BD1" w:rsidP="00717BD1">
            <w:pPr>
              <w:pStyle w:val="TAC"/>
              <w:rPr>
                <w:lang w:val="en-GB" w:eastAsia="en-GB"/>
              </w:rPr>
            </w:pPr>
            <w:r>
              <w:rPr>
                <w:lang w:eastAsia="en-GB"/>
              </w:rPr>
              <w:t>± (</w:t>
            </w:r>
            <w:proofErr w:type="spellStart"/>
            <w:r>
              <w:rPr>
                <w:rFonts w:cs="Arial"/>
                <w:szCs w:val="18"/>
                <w:lang w:val="en-GB" w:eastAsia="en-GB"/>
              </w:rPr>
              <w:t>BW</w:t>
            </w:r>
            <w:r>
              <w:rPr>
                <w:rFonts w:cs="Arial"/>
                <w:szCs w:val="18"/>
                <w:vertAlign w:val="subscript"/>
                <w:lang w:val="en-GB" w:eastAsia="en-GB"/>
              </w:rPr>
              <w:t>Channel</w:t>
            </w:r>
            <w:proofErr w:type="spellEnd"/>
            <w:r>
              <w:rPr>
                <w:lang w:eastAsia="en-GB"/>
              </w:rPr>
              <w:t>/2)-</w:t>
            </w:r>
            <w:proofErr w:type="spellStart"/>
            <w:r>
              <w:rPr>
                <w:rFonts w:cs="Arial"/>
                <w:szCs w:val="18"/>
                <w:lang w:val="en-GB" w:eastAsia="en-GB"/>
              </w:rPr>
              <w:t>BW</w:t>
            </w:r>
            <w:r>
              <w:rPr>
                <w:rFonts w:cs="Arial"/>
                <w:szCs w:val="18"/>
                <w:vertAlign w:val="subscript"/>
                <w:lang w:val="en-GB" w:eastAsia="en-GB"/>
              </w:rPr>
              <w:t>Channel</w:t>
            </w:r>
            <w:proofErr w:type="spellEnd"/>
          </w:p>
        </w:tc>
        <w:tc>
          <w:tcPr>
            <w:tcW w:w="4500" w:type="dxa"/>
            <w:tcBorders>
              <w:top w:val="nil"/>
              <w:left w:val="nil"/>
              <w:bottom w:val="single" w:sz="8" w:space="0" w:color="auto"/>
              <w:right w:val="single" w:sz="8" w:space="0" w:color="auto"/>
            </w:tcBorders>
            <w:vAlign w:val="center"/>
            <w:hideMark/>
          </w:tcPr>
          <w:p w14:paraId="7132C139" w14:textId="6A4D6341" w:rsidR="00717BD1" w:rsidRDefault="00717BD1" w:rsidP="00717BD1">
            <w:pPr>
              <w:pStyle w:val="TAC"/>
              <w:rPr>
                <w:lang w:val="en-GB" w:eastAsia="en-GB"/>
              </w:rPr>
            </w:pPr>
            <m:oMath>
              <m:r>
                <w:rPr>
                  <w:rFonts w:ascii="Cambria Math" w:hAnsi="Cambria Math" w:cs="Arial"/>
                  <w:sz w:val="16"/>
                  <w:szCs w:val="16"/>
                  <w:lang w:eastAsia="en-GB"/>
                </w:rPr>
                <m:t>-16-</m:t>
              </m:r>
              <m:d>
                <m:dPr>
                  <m:ctrlPr>
                    <w:rPr>
                      <w:rFonts w:ascii="Cambria Math" w:eastAsiaTheme="minorHAnsi" w:hAnsi="Cambria Math" w:cs="Arial"/>
                      <w:i/>
                      <w:iCs/>
                      <w:sz w:val="16"/>
                      <w:szCs w:val="16"/>
                      <w:lang w:eastAsia="en-GB"/>
                    </w:rPr>
                  </m:ctrlPr>
                </m:dPr>
                <m:e>
                  <m:f>
                    <m:fPr>
                      <m:type m:val="skw"/>
                      <m:ctrlPr>
                        <w:rPr>
                          <w:rFonts w:ascii="Cambria Math" w:eastAsiaTheme="minorHAnsi" w:hAnsi="Cambria Math" w:cs="Arial"/>
                          <w:i/>
                          <w:iCs/>
                          <w:sz w:val="16"/>
                          <w:szCs w:val="16"/>
                          <w:lang w:eastAsia="en-GB"/>
                        </w:rPr>
                      </m:ctrlPr>
                    </m:fPr>
                    <m:num>
                      <m:r>
                        <w:rPr>
                          <w:rFonts w:ascii="Cambria Math" w:hAnsi="Cambria Math" w:cs="Arial"/>
                          <w:sz w:val="16"/>
                          <w:szCs w:val="16"/>
                          <w:lang w:eastAsia="en-GB"/>
                        </w:rPr>
                        <m:t>12</m:t>
                      </m:r>
                    </m:num>
                    <m:den>
                      <m:r>
                        <m:rPr>
                          <m:sty m:val="bi"/>
                        </m:rPr>
                        <w:rPr>
                          <w:rFonts w:ascii="Cambria Math" w:hAnsi="Cambria Math" w:cs="Arial"/>
                          <w:sz w:val="16"/>
                          <w:szCs w:val="16"/>
                          <w:lang w:eastAsia="en-GB"/>
                        </w:rPr>
                        <m:t>B</m:t>
                      </m:r>
                    </m:den>
                  </m:f>
                </m:e>
              </m:d>
              <m:r>
                <w:rPr>
                  <w:rFonts w:ascii="Cambria Math" w:hAnsi="Cambria Math" w:cs="Arial"/>
                  <w:sz w:val="16"/>
                  <w:szCs w:val="16"/>
                  <w:lang w:val="en-GB" w:eastAsia="en-GB"/>
                </w:rPr>
                <m:t xml:space="preserve"> </m:t>
              </m:r>
              <m:d>
                <m:dPr>
                  <m:begChr m:val="|"/>
                  <m:endChr m:val="|"/>
                  <m:ctrlPr>
                    <w:rPr>
                      <w:rFonts w:ascii="Cambria Math" w:eastAsiaTheme="minorHAnsi" w:hAnsi="Cambria Math" w:cs="Arial"/>
                      <w:i/>
                      <w:iCs/>
                      <w:sz w:val="16"/>
                      <w:szCs w:val="16"/>
                      <w:lang w:eastAsia="en-GB"/>
                    </w:rPr>
                  </m:ctrlPr>
                </m:dPr>
                <m:e>
                  <m:sSub>
                    <m:sSubPr>
                      <m:ctrlPr>
                        <w:rPr>
                          <w:rFonts w:ascii="Cambria Math" w:eastAsiaTheme="minorHAnsi" w:hAnsi="Cambria Math" w:cs="Arial"/>
                          <w:i/>
                          <w:iCs/>
                          <w:sz w:val="16"/>
                          <w:szCs w:val="16"/>
                          <w:lang w:eastAsia="en-GB"/>
                        </w:rPr>
                      </m:ctrlPr>
                    </m:sSubPr>
                    <m:e>
                      <m:r>
                        <m:rPr>
                          <m:sty m:val="bi"/>
                        </m:rPr>
                        <w:rPr>
                          <w:rFonts w:ascii="Cambria Math" w:hAnsi="Cambria Math" w:cs="Arial"/>
                          <w:sz w:val="16"/>
                          <w:szCs w:val="16"/>
                          <w:lang w:eastAsia="en-GB"/>
                        </w:rPr>
                        <m:t>∆f</m:t>
                      </m:r>
                    </m:e>
                    <m:sub>
                      <m:r>
                        <m:rPr>
                          <m:sty m:val="bi"/>
                        </m:rPr>
                        <w:rPr>
                          <w:rFonts w:ascii="Cambria Math" w:hAnsi="Cambria Math" w:cs="Arial"/>
                          <w:sz w:val="16"/>
                          <w:szCs w:val="16"/>
                          <w:lang w:eastAsia="en-GB"/>
                        </w:rPr>
                        <m:t>OOB</m:t>
                      </m:r>
                    </m:sub>
                  </m:sSub>
                </m:e>
              </m:d>
            </m:oMath>
            <w:r>
              <w:rPr>
                <w:sz w:val="16"/>
                <w:szCs w:val="16"/>
                <w:lang w:eastAsia="en-GB"/>
              </w:rPr>
              <w:t xml:space="preserve"> where </w:t>
            </w:r>
            <m:oMath>
              <m:r>
                <m:rPr>
                  <m:sty m:val="bi"/>
                </m:rPr>
                <w:rPr>
                  <w:rFonts w:ascii="Cambria Math" w:hAnsi="Cambria Math" w:cs="Arial"/>
                  <w:lang w:eastAsia="en-GB"/>
                </w:rPr>
                <m:t>B</m:t>
              </m:r>
              <m:r>
                <w:rPr>
                  <w:rFonts w:ascii="Cambria Math" w:hAnsi="Cambria Math" w:cs="Arial"/>
                  <w:lang w:eastAsia="en-GB"/>
                </w:rPr>
                <m:t xml:space="preserve">= </m:t>
              </m:r>
              <m:d>
                <m:dPr>
                  <m:ctrlPr>
                    <w:rPr>
                      <w:rFonts w:ascii="Cambria Math" w:eastAsiaTheme="minorHAnsi" w:hAnsi="Cambria Math" w:cs="Arial"/>
                      <w:i/>
                      <w:iCs/>
                      <w:sz w:val="16"/>
                      <w:szCs w:val="16"/>
                      <w:lang w:eastAsia="en-GB"/>
                    </w:rPr>
                  </m:ctrlPr>
                </m:dPr>
                <m:e>
                  <m:f>
                    <m:fPr>
                      <m:type m:val="skw"/>
                      <m:ctrlPr>
                        <w:rPr>
                          <w:rFonts w:ascii="Cambria Math" w:eastAsiaTheme="minorHAnsi" w:hAnsi="Cambria Math" w:cs="Arial"/>
                          <w:i/>
                          <w:iCs/>
                          <w:sz w:val="16"/>
                          <w:szCs w:val="16"/>
                          <w:lang w:eastAsia="en-GB"/>
                        </w:rPr>
                      </m:ctrlPr>
                    </m:fPr>
                    <m:num>
                      <m:r>
                        <m:rPr>
                          <m:sty m:val="p"/>
                        </m:rPr>
                        <w:rPr>
                          <w:rFonts w:ascii="Cambria Math" w:hAnsi="Cambria Math" w:cs="Arial"/>
                          <w:szCs w:val="18"/>
                          <w:lang w:val="en-GB" w:eastAsia="en-GB"/>
                        </w:rPr>
                        <m:t>BW</m:t>
                      </m:r>
                      <m:r>
                        <m:rPr>
                          <m:sty m:val="p"/>
                        </m:rPr>
                        <w:rPr>
                          <w:rFonts w:ascii="Cambria Math" w:hAnsi="Cambria Math" w:cs="Arial"/>
                          <w:szCs w:val="18"/>
                          <w:vertAlign w:val="subscript"/>
                          <w:lang w:val="en-GB" w:eastAsia="en-GB"/>
                        </w:rPr>
                        <m:t>Channel</m:t>
                      </m:r>
                    </m:num>
                    <m:den>
                      <m:r>
                        <w:rPr>
                          <w:rFonts w:ascii="Cambria Math" w:hAnsi="Cambria Math" w:cs="Arial"/>
                          <w:sz w:val="16"/>
                          <w:szCs w:val="16"/>
                          <w:lang w:eastAsia="en-GB"/>
                        </w:rPr>
                        <m:t>2</m:t>
                      </m:r>
                    </m:den>
                  </m:f>
                </m:e>
              </m:d>
            </m:oMath>
          </w:p>
        </w:tc>
        <w:tc>
          <w:tcPr>
            <w:tcW w:w="1440" w:type="dxa"/>
            <w:tcBorders>
              <w:top w:val="nil"/>
              <w:left w:val="nil"/>
              <w:bottom w:val="nil"/>
              <w:right w:val="single" w:sz="8" w:space="0" w:color="auto"/>
            </w:tcBorders>
            <w:tcMar>
              <w:top w:w="0" w:type="dxa"/>
              <w:left w:w="108" w:type="dxa"/>
              <w:bottom w:w="0" w:type="dxa"/>
              <w:right w:w="108" w:type="dxa"/>
            </w:tcMar>
            <w:vAlign w:val="center"/>
          </w:tcPr>
          <w:p w14:paraId="432BA8BC" w14:textId="77777777" w:rsidR="00717BD1" w:rsidRDefault="00717BD1" w:rsidP="00717BD1">
            <w:pPr>
              <w:spacing w:after="0"/>
              <w:rPr>
                <w:rFonts w:eastAsiaTheme="minorHAnsi"/>
                <w:lang w:val="en-GB" w:eastAsia="en-GB"/>
              </w:rPr>
            </w:pPr>
          </w:p>
        </w:tc>
      </w:tr>
      <w:tr w:rsidR="00717BD1" w14:paraId="6BA6E633" w14:textId="77777777" w:rsidTr="00717BD1">
        <w:tc>
          <w:tcPr>
            <w:tcW w:w="23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F5B45A" w14:textId="47BE2E74" w:rsidR="00717BD1" w:rsidRDefault="00717BD1" w:rsidP="00717BD1">
            <w:pPr>
              <w:pStyle w:val="TAC"/>
              <w:rPr>
                <w:lang w:val="en-GB" w:eastAsia="en-GB"/>
              </w:rPr>
            </w:pPr>
            <w:r>
              <w:rPr>
                <w:lang w:eastAsia="en-GB"/>
              </w:rPr>
              <w:t xml:space="preserve">&gt; </w:t>
            </w:r>
            <w:proofErr w:type="spellStart"/>
            <w:r>
              <w:rPr>
                <w:rFonts w:cs="Arial"/>
                <w:szCs w:val="18"/>
                <w:lang w:val="en-GB" w:eastAsia="en-GB"/>
              </w:rPr>
              <w:t>BW</w:t>
            </w:r>
            <w:r>
              <w:rPr>
                <w:rFonts w:cs="Arial"/>
                <w:szCs w:val="18"/>
                <w:vertAlign w:val="subscript"/>
                <w:lang w:val="en-GB" w:eastAsia="en-GB"/>
              </w:rPr>
              <w:t>Channel</w:t>
            </w:r>
            <w:proofErr w:type="spellEnd"/>
            <w:r>
              <w:rPr>
                <w:rFonts w:cs="Arial"/>
                <w:szCs w:val="18"/>
                <w:vertAlign w:val="subscript"/>
                <w:lang w:val="en-GB" w:eastAsia="en-GB"/>
              </w:rPr>
              <w:t xml:space="preserve"> </w:t>
            </w:r>
            <w:r>
              <w:rPr>
                <w:rFonts w:cs="Arial"/>
                <w:szCs w:val="18"/>
                <w:lang w:val="en-GB" w:eastAsia="en-GB"/>
              </w:rPr>
              <w:t xml:space="preserve">or &lt; </w:t>
            </w:r>
            <w:r w:rsidRPr="00717BD1">
              <w:rPr>
                <w:rFonts w:cs="Arial"/>
                <w:szCs w:val="18"/>
                <w:lang w:val="en-GB" w:eastAsia="en-GB"/>
              </w:rPr>
              <w:t>-</w:t>
            </w:r>
            <w:proofErr w:type="spellStart"/>
            <w:r>
              <w:rPr>
                <w:rFonts w:cs="Arial"/>
                <w:szCs w:val="18"/>
                <w:lang w:val="en-GB" w:eastAsia="en-GB"/>
              </w:rPr>
              <w:t>BW</w:t>
            </w:r>
            <w:r>
              <w:rPr>
                <w:rFonts w:cs="Arial"/>
                <w:szCs w:val="18"/>
                <w:vertAlign w:val="subscript"/>
                <w:lang w:val="en-GB" w:eastAsia="en-GB"/>
              </w:rPr>
              <w:t>Channel</w:t>
            </w:r>
            <w:proofErr w:type="spellEnd"/>
          </w:p>
        </w:tc>
        <w:tc>
          <w:tcPr>
            <w:tcW w:w="4500" w:type="dxa"/>
            <w:tcBorders>
              <w:top w:val="nil"/>
              <w:left w:val="nil"/>
              <w:bottom w:val="single" w:sz="4" w:space="0" w:color="auto"/>
              <w:right w:val="single" w:sz="8" w:space="0" w:color="auto"/>
            </w:tcBorders>
            <w:vAlign w:val="center"/>
            <w:hideMark/>
          </w:tcPr>
          <w:p w14:paraId="1314D151" w14:textId="7E6370EF" w:rsidR="00717BD1" w:rsidRDefault="00717BD1" w:rsidP="00717BD1">
            <w:pPr>
              <w:pStyle w:val="TAC"/>
              <w:rPr>
                <w:lang w:val="en-GB" w:eastAsia="en-GB"/>
              </w:rPr>
            </w:pPr>
            <w:r>
              <w:rPr>
                <w:lang w:eastAsia="en-GB"/>
              </w:rPr>
              <w:t>-40</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20AEC421" w14:textId="77777777" w:rsidR="00717BD1" w:rsidRDefault="00717BD1" w:rsidP="00717BD1">
            <w:pPr>
              <w:spacing w:after="0"/>
            </w:pPr>
          </w:p>
        </w:tc>
      </w:tr>
      <w:tr w:rsidR="0076565A" w14:paraId="16978429" w14:textId="77777777" w:rsidTr="00717BD1">
        <w:trPr>
          <w:trHeight w:val="662"/>
        </w:trPr>
        <w:tc>
          <w:tcPr>
            <w:tcW w:w="8290" w:type="dxa"/>
            <w:gridSpan w:val="3"/>
            <w:tcBorders>
              <w:top w:val="nil"/>
              <w:left w:val="single" w:sz="8" w:space="0" w:color="auto"/>
              <w:bottom w:val="single" w:sz="8" w:space="0" w:color="auto"/>
              <w:right w:val="single" w:sz="8" w:space="0" w:color="auto"/>
            </w:tcBorders>
            <w:hideMark/>
          </w:tcPr>
          <w:p w14:paraId="7CDA25EA" w14:textId="77777777" w:rsidR="0076565A" w:rsidRDefault="0076565A" w:rsidP="00784EF1">
            <w:pPr>
              <w:pStyle w:val="TAN"/>
              <w:rPr>
                <w:rFonts w:eastAsiaTheme="minorHAnsi"/>
                <w:szCs w:val="18"/>
                <w:lang w:eastAsia="en-GB"/>
              </w:rPr>
            </w:pPr>
            <w:r>
              <w:rPr>
                <w:lang w:eastAsia="en-GB"/>
              </w:rPr>
              <w:t>NOTE 1:   Void</w:t>
            </w:r>
          </w:p>
          <w:p w14:paraId="57ED77B8" w14:textId="77777777" w:rsidR="0076565A" w:rsidRDefault="0076565A" w:rsidP="00784EF1">
            <w:pPr>
              <w:pStyle w:val="TAN"/>
              <w:rPr>
                <w:sz w:val="16"/>
                <w:szCs w:val="16"/>
                <w:lang w:val="en-GB" w:eastAsia="en-GB"/>
              </w:rPr>
            </w:pPr>
            <w:r>
              <w:rPr>
                <w:lang w:eastAsia="en-GB"/>
              </w:rPr>
              <w:t>NOTE 2:   Void</w:t>
            </w:r>
          </w:p>
          <w:p w14:paraId="4C16B578" w14:textId="77777777" w:rsidR="0076565A" w:rsidRDefault="0076565A" w:rsidP="00784EF1">
            <w:pPr>
              <w:pStyle w:val="TAN"/>
              <w:rPr>
                <w:szCs w:val="18"/>
                <w:lang w:eastAsia="fr-FR"/>
              </w:rPr>
            </w:pPr>
            <w:r>
              <w:rPr>
                <w:lang w:eastAsia="fr-FR"/>
              </w:rPr>
              <w:t>NOTE 3:   The measured value shall be scaled by a factor equal to the ratio of the reference bandwidth (1 MHz) to the measurement bandwidth before the emission limit (</w:t>
            </w:r>
            <w:proofErr w:type="spellStart"/>
            <w:r>
              <w:rPr>
                <w:lang w:eastAsia="fr-FR"/>
              </w:rPr>
              <w:t>dBr</w:t>
            </w:r>
            <w:proofErr w:type="spellEnd"/>
            <w:r>
              <w:rPr>
                <w:lang w:eastAsia="fr-FR"/>
              </w:rPr>
              <w:t>) is applied.</w:t>
            </w:r>
          </w:p>
          <w:p w14:paraId="1E3C9E74" w14:textId="77777777" w:rsidR="0076565A" w:rsidRDefault="0076565A" w:rsidP="00784EF1">
            <w:pPr>
              <w:pStyle w:val="TAN"/>
              <w:rPr>
                <w:lang w:val="en-GB" w:eastAsia="en-GB"/>
              </w:rPr>
            </w:pPr>
            <w:r>
              <w:rPr>
                <w:lang w:eastAsia="fr-FR"/>
              </w:rPr>
              <w:t xml:space="preserve">NOTE 4:   The carrier leakage exceptions from Table 6.4F.2.3-1 apply and carrier leakage contribution shall be removed prior to setting the 0dBr level of the mask, the reported carrier frequency location in </w:t>
            </w:r>
            <w:proofErr w:type="spellStart"/>
            <w:r>
              <w:rPr>
                <w:i/>
                <w:iCs/>
                <w:lang w:eastAsia="fr-FR"/>
              </w:rPr>
              <w:t>txDirectCurrentLocation</w:t>
            </w:r>
            <w:proofErr w:type="spellEnd"/>
            <w:r>
              <w:rPr>
                <w:lang w:eastAsia="fr-FR"/>
              </w:rPr>
              <w:t xml:space="preserve"> field of the </w:t>
            </w:r>
            <w:proofErr w:type="spellStart"/>
            <w:r>
              <w:rPr>
                <w:i/>
                <w:iCs/>
                <w:lang w:eastAsia="fr-FR"/>
              </w:rPr>
              <w:t>UplinkTxDirectCurrentBWP</w:t>
            </w:r>
            <w:proofErr w:type="spellEnd"/>
            <w:r>
              <w:rPr>
                <w:lang w:eastAsia="fr-FR"/>
              </w:rPr>
              <w:t xml:space="preserve"> can be used to cancel the carrier leakage contribution. If </w:t>
            </w:r>
            <w:proofErr w:type="spellStart"/>
            <w:r>
              <w:rPr>
                <w:i/>
                <w:iCs/>
                <w:lang w:eastAsia="fr-FR"/>
              </w:rPr>
              <w:t>txDirectCurrentLocation</w:t>
            </w:r>
            <w:proofErr w:type="spellEnd"/>
            <w:r>
              <w:rPr>
                <w:lang w:eastAsia="fr-FR"/>
              </w:rPr>
              <w:t xml:space="preserve"> is not available or is reported with value 3300 or 3301, a carrier frequency location at the center of the channel shall be assumed.</w:t>
            </w:r>
          </w:p>
        </w:tc>
      </w:tr>
    </w:tbl>
    <w:p w14:paraId="02D3D3F6" w14:textId="77777777" w:rsidR="0076565A" w:rsidRPr="00CF69FD" w:rsidRDefault="0076565A" w:rsidP="00870C60">
      <w:pPr>
        <w:spacing w:after="0"/>
        <w:jc w:val="both"/>
        <w:rPr>
          <w:b/>
          <w:lang w:eastAsia="zh-CN"/>
        </w:rPr>
      </w:pPr>
    </w:p>
    <w:p w14:paraId="03D6921F" w14:textId="77777777" w:rsidR="00F10F97" w:rsidRDefault="007321E3" w:rsidP="00C8525F">
      <w:pPr>
        <w:pStyle w:val="Heading1"/>
        <w:numPr>
          <w:ilvl w:val="0"/>
          <w:numId w:val="0"/>
        </w:numPr>
        <w:jc w:val="both"/>
      </w:pPr>
      <w:r>
        <w:lastRenderedPageBreak/>
        <w:t>R</w:t>
      </w:r>
      <w:r w:rsidR="00F10F97">
        <w:t>eferences</w:t>
      </w:r>
    </w:p>
    <w:p w14:paraId="7BAD96DF" w14:textId="4667260C" w:rsidR="00B4656D" w:rsidRDefault="00674679" w:rsidP="0064260A">
      <w:r>
        <w:t>[1</w:t>
      </w:r>
      <w:r w:rsidRPr="00DD0023">
        <w:t>]</w:t>
      </w:r>
      <w:r>
        <w:t xml:space="preserve"> </w:t>
      </w:r>
      <w:r w:rsidR="0064260A" w:rsidRPr="0064260A">
        <w:t>RP-211599</w:t>
      </w:r>
      <w:r w:rsidR="0064260A">
        <w:t xml:space="preserve"> </w:t>
      </w:r>
      <w:r w:rsidR="0064260A" w:rsidRPr="0064260A">
        <w:t>Revised Basket WID on adding channel bandwidth support to existing NR bands</w:t>
      </w:r>
      <w:r w:rsidR="0064260A">
        <w:t>, Ericsson, RAN#92e</w:t>
      </w:r>
    </w:p>
    <w:p w14:paraId="67F16590" w14:textId="7A4BC67E" w:rsidR="00B54CAE" w:rsidRDefault="00B54CAE" w:rsidP="0064260A">
      <w:r>
        <w:t>[2</w:t>
      </w:r>
      <w:r w:rsidRPr="00DD0023">
        <w:t>]</w:t>
      </w:r>
      <w:r>
        <w:t xml:space="preserve"> </w:t>
      </w:r>
      <w:r w:rsidRPr="00E46D78">
        <w:t>R4-2104494</w:t>
      </w:r>
      <w:r>
        <w:t xml:space="preserve"> </w:t>
      </w:r>
      <w:r w:rsidRPr="00E46D78">
        <w:t>NR-U Punctured Channel SEM for 100 MHz Bandwidth</w:t>
      </w:r>
      <w:r>
        <w:t xml:space="preserve">, </w:t>
      </w:r>
      <w:proofErr w:type="spellStart"/>
      <w:r w:rsidRPr="00E46D78">
        <w:t>CableLabs</w:t>
      </w:r>
      <w:proofErr w:type="spellEnd"/>
      <w:r w:rsidRPr="00E46D78">
        <w:t>, Charter Communications</w:t>
      </w:r>
      <w:r>
        <w:t>, RAN4#98be</w:t>
      </w:r>
    </w:p>
    <w:sectPr w:rsidR="00B54CAE" w:rsidSect="0072107A">
      <w:footerReference w:type="default" r:id="rId9"/>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6E99E7" w14:textId="77777777" w:rsidR="00C65BCC" w:rsidRDefault="00C65BCC">
      <w:r>
        <w:separator/>
      </w:r>
    </w:p>
  </w:endnote>
  <w:endnote w:type="continuationSeparator" w:id="0">
    <w:p w14:paraId="43BAED36" w14:textId="77777777" w:rsidR="00C65BCC" w:rsidRDefault="00C65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709786" w14:textId="77777777" w:rsidR="00253CDE" w:rsidRDefault="00253CD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9A6445" w14:textId="77777777" w:rsidR="00C65BCC" w:rsidRDefault="00C65BCC">
      <w:r>
        <w:separator/>
      </w:r>
    </w:p>
  </w:footnote>
  <w:footnote w:type="continuationSeparator" w:id="0">
    <w:p w14:paraId="5888733F" w14:textId="77777777" w:rsidR="00C65BCC" w:rsidRDefault="00C65B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3C7B5F"/>
    <w:multiLevelType w:val="hybridMultilevel"/>
    <w:tmpl w:val="605E75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EC01A9F"/>
    <w:multiLevelType w:val="hybridMultilevel"/>
    <w:tmpl w:val="06C657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F0A3555"/>
    <w:multiLevelType w:val="hybridMultilevel"/>
    <w:tmpl w:val="7B8E9E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nsid w:val="13F25D7E"/>
    <w:multiLevelType w:val="hybridMultilevel"/>
    <w:tmpl w:val="D8863CA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nsid w:val="234D6D30"/>
    <w:multiLevelType w:val="hybridMultilevel"/>
    <w:tmpl w:val="4086E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F716A3"/>
    <w:multiLevelType w:val="hybridMultilevel"/>
    <w:tmpl w:val="1AB63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0">
    <w:nsid w:val="2FF21D51"/>
    <w:multiLevelType w:val="hybridMultilevel"/>
    <w:tmpl w:val="D6727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B5387F"/>
    <w:multiLevelType w:val="hybridMultilevel"/>
    <w:tmpl w:val="403CCD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7556D01"/>
    <w:multiLevelType w:val="hybridMultilevel"/>
    <w:tmpl w:val="FAEA7A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9B17432"/>
    <w:multiLevelType w:val="hybridMultilevel"/>
    <w:tmpl w:val="DF4CF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183098B"/>
    <w:multiLevelType w:val="hybridMultilevel"/>
    <w:tmpl w:val="B066C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926"/>
        </w:tabs>
        <w:ind w:left="1926" w:hanging="576"/>
      </w:pPr>
      <w:rPr>
        <w:rFonts w:hint="default"/>
        <w:lang w:val="en-GB"/>
      </w:rPr>
    </w:lvl>
    <w:lvl w:ilvl="2">
      <w:start w:val="1"/>
      <w:numFmt w:val="decimal"/>
      <w:pStyle w:val="Heading3"/>
      <w:lvlText w:val="%1.%2.%3."/>
      <w:lvlJc w:val="left"/>
      <w:pPr>
        <w:tabs>
          <w:tab w:val="num" w:pos="1890"/>
        </w:tabs>
        <w:ind w:left="189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nsid w:val="4A5F6C60"/>
    <w:multiLevelType w:val="hybridMultilevel"/>
    <w:tmpl w:val="FE1E5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3AD26E7"/>
    <w:multiLevelType w:val="hybridMultilevel"/>
    <w:tmpl w:val="6E88BF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6EA27A83"/>
    <w:multiLevelType w:val="hybridMultilevel"/>
    <w:tmpl w:val="6E842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2BC5AFC"/>
    <w:multiLevelType w:val="hybridMultilevel"/>
    <w:tmpl w:val="A260B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678283C"/>
    <w:multiLevelType w:val="hybridMultilevel"/>
    <w:tmpl w:val="7004B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82043CC"/>
    <w:multiLevelType w:val="hybridMultilevel"/>
    <w:tmpl w:val="44388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4"/>
  </w:num>
  <w:num w:numId="3">
    <w:abstractNumId w:val="16"/>
  </w:num>
  <w:num w:numId="4">
    <w:abstractNumId w:val="26"/>
  </w:num>
  <w:num w:numId="5">
    <w:abstractNumId w:val="9"/>
  </w:num>
  <w:num w:numId="6">
    <w:abstractNumId w:val="4"/>
  </w:num>
  <w:num w:numId="7">
    <w:abstractNumId w:val="17"/>
  </w:num>
  <w:num w:numId="8">
    <w:abstractNumId w:val="21"/>
  </w:num>
  <w:num w:numId="9">
    <w:abstractNumId w:val="25"/>
  </w:num>
  <w:num w:numId="10">
    <w:abstractNumId w:val="11"/>
  </w:num>
  <w:num w:numId="11">
    <w:abstractNumId w:val="1"/>
  </w:num>
  <w:num w:numId="12">
    <w:abstractNumId w:val="19"/>
  </w:num>
  <w:num w:numId="13">
    <w:abstractNumId w:val="0"/>
  </w:num>
  <w:num w:numId="14">
    <w:abstractNumId w:val="24"/>
  </w:num>
  <w:num w:numId="15">
    <w:abstractNumId w:val="18"/>
  </w:num>
  <w:num w:numId="16">
    <w:abstractNumId w:val="10"/>
  </w:num>
  <w:num w:numId="17">
    <w:abstractNumId w:val="12"/>
  </w:num>
  <w:num w:numId="18">
    <w:abstractNumId w:val="13"/>
  </w:num>
  <w:num w:numId="19">
    <w:abstractNumId w:val="2"/>
  </w:num>
  <w:num w:numId="20">
    <w:abstractNumId w:val="7"/>
  </w:num>
  <w:num w:numId="21">
    <w:abstractNumId w:val="8"/>
  </w:num>
  <w:num w:numId="22">
    <w:abstractNumId w:val="23"/>
  </w:num>
  <w:num w:numId="23">
    <w:abstractNumId w:val="3"/>
  </w:num>
  <w:num w:numId="24">
    <w:abstractNumId w:val="20"/>
  </w:num>
  <w:num w:numId="25">
    <w:abstractNumId w:val="15"/>
  </w:num>
  <w:num w:numId="26">
    <w:abstractNumId w:val="5"/>
  </w:num>
  <w:num w:numId="27">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258E"/>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2AB"/>
    <w:rsid w:val="000412FD"/>
    <w:rsid w:val="000413D5"/>
    <w:rsid w:val="00041AF5"/>
    <w:rsid w:val="0004270D"/>
    <w:rsid w:val="00042B92"/>
    <w:rsid w:val="00042CEA"/>
    <w:rsid w:val="00042E11"/>
    <w:rsid w:val="00044123"/>
    <w:rsid w:val="00044816"/>
    <w:rsid w:val="0004481B"/>
    <w:rsid w:val="0004492F"/>
    <w:rsid w:val="00044985"/>
    <w:rsid w:val="00044FE8"/>
    <w:rsid w:val="000451ED"/>
    <w:rsid w:val="00045776"/>
    <w:rsid w:val="00045975"/>
    <w:rsid w:val="00045A17"/>
    <w:rsid w:val="00045CA1"/>
    <w:rsid w:val="00045EEA"/>
    <w:rsid w:val="00045FD7"/>
    <w:rsid w:val="00046C3D"/>
    <w:rsid w:val="00046E05"/>
    <w:rsid w:val="00047059"/>
    <w:rsid w:val="0004729B"/>
    <w:rsid w:val="00047A83"/>
    <w:rsid w:val="000503DF"/>
    <w:rsid w:val="000505B8"/>
    <w:rsid w:val="000505C9"/>
    <w:rsid w:val="00050B62"/>
    <w:rsid w:val="00050DA6"/>
    <w:rsid w:val="00050DBE"/>
    <w:rsid w:val="00052A2B"/>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13D8"/>
    <w:rsid w:val="00062143"/>
    <w:rsid w:val="0006226C"/>
    <w:rsid w:val="00062A68"/>
    <w:rsid w:val="000633D5"/>
    <w:rsid w:val="00063452"/>
    <w:rsid w:val="00063907"/>
    <w:rsid w:val="00063B92"/>
    <w:rsid w:val="0006407C"/>
    <w:rsid w:val="0006423A"/>
    <w:rsid w:val="00064574"/>
    <w:rsid w:val="000657CC"/>
    <w:rsid w:val="000658D0"/>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FF1"/>
    <w:rsid w:val="000923CF"/>
    <w:rsid w:val="000928E3"/>
    <w:rsid w:val="000928ED"/>
    <w:rsid w:val="00092A50"/>
    <w:rsid w:val="00092E62"/>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1328"/>
    <w:rsid w:val="00111828"/>
    <w:rsid w:val="0011274D"/>
    <w:rsid w:val="0011282B"/>
    <w:rsid w:val="00112D66"/>
    <w:rsid w:val="00112DDC"/>
    <w:rsid w:val="00113319"/>
    <w:rsid w:val="00114764"/>
    <w:rsid w:val="00114E0D"/>
    <w:rsid w:val="00115671"/>
    <w:rsid w:val="00116080"/>
    <w:rsid w:val="001170D2"/>
    <w:rsid w:val="00117964"/>
    <w:rsid w:val="00117E1E"/>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CB0"/>
    <w:rsid w:val="001300F3"/>
    <w:rsid w:val="001303AE"/>
    <w:rsid w:val="00130D14"/>
    <w:rsid w:val="00130DD7"/>
    <w:rsid w:val="001310D9"/>
    <w:rsid w:val="001313E6"/>
    <w:rsid w:val="0013179B"/>
    <w:rsid w:val="001318F6"/>
    <w:rsid w:val="00131CC8"/>
    <w:rsid w:val="00131F11"/>
    <w:rsid w:val="00132339"/>
    <w:rsid w:val="00132B1C"/>
    <w:rsid w:val="00133B9F"/>
    <w:rsid w:val="00133EB9"/>
    <w:rsid w:val="001348D0"/>
    <w:rsid w:val="001348D2"/>
    <w:rsid w:val="00134F93"/>
    <w:rsid w:val="0013512A"/>
    <w:rsid w:val="00135141"/>
    <w:rsid w:val="00135209"/>
    <w:rsid w:val="00135898"/>
    <w:rsid w:val="00135C70"/>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E81"/>
    <w:rsid w:val="001551FD"/>
    <w:rsid w:val="00155826"/>
    <w:rsid w:val="001562F2"/>
    <w:rsid w:val="00156DDB"/>
    <w:rsid w:val="00156FA1"/>
    <w:rsid w:val="0015714C"/>
    <w:rsid w:val="00157C9C"/>
    <w:rsid w:val="001601FD"/>
    <w:rsid w:val="0016089E"/>
    <w:rsid w:val="00160B74"/>
    <w:rsid w:val="0016195F"/>
    <w:rsid w:val="001620DA"/>
    <w:rsid w:val="00162BBF"/>
    <w:rsid w:val="00162C66"/>
    <w:rsid w:val="00163225"/>
    <w:rsid w:val="00163359"/>
    <w:rsid w:val="00163D7E"/>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70"/>
    <w:rsid w:val="00171D17"/>
    <w:rsid w:val="00171F17"/>
    <w:rsid w:val="00172067"/>
    <w:rsid w:val="00172515"/>
    <w:rsid w:val="001727BB"/>
    <w:rsid w:val="001731AD"/>
    <w:rsid w:val="001733D8"/>
    <w:rsid w:val="001736B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13A3"/>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B015A"/>
    <w:rsid w:val="001B0330"/>
    <w:rsid w:val="001B03C4"/>
    <w:rsid w:val="001B044D"/>
    <w:rsid w:val="001B04A1"/>
    <w:rsid w:val="001B0D44"/>
    <w:rsid w:val="001B0EA1"/>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1C71"/>
    <w:rsid w:val="001C23E8"/>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1093"/>
    <w:rsid w:val="001D109F"/>
    <w:rsid w:val="001D1BDA"/>
    <w:rsid w:val="001D1C24"/>
    <w:rsid w:val="001D1C95"/>
    <w:rsid w:val="001D1F10"/>
    <w:rsid w:val="001D200C"/>
    <w:rsid w:val="001D272D"/>
    <w:rsid w:val="001D3743"/>
    <w:rsid w:val="001D392B"/>
    <w:rsid w:val="001D4717"/>
    <w:rsid w:val="001D4AAB"/>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B2"/>
    <w:rsid w:val="001E36E8"/>
    <w:rsid w:val="001E399C"/>
    <w:rsid w:val="001E3ABE"/>
    <w:rsid w:val="001E3B64"/>
    <w:rsid w:val="001E3E11"/>
    <w:rsid w:val="001E4374"/>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745"/>
    <w:rsid w:val="0023276E"/>
    <w:rsid w:val="0023315F"/>
    <w:rsid w:val="002333B3"/>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3CDE"/>
    <w:rsid w:val="00253DCC"/>
    <w:rsid w:val="00254146"/>
    <w:rsid w:val="0025422B"/>
    <w:rsid w:val="002542C8"/>
    <w:rsid w:val="0025430D"/>
    <w:rsid w:val="00254398"/>
    <w:rsid w:val="00254B95"/>
    <w:rsid w:val="00254D53"/>
    <w:rsid w:val="00255226"/>
    <w:rsid w:val="0025554B"/>
    <w:rsid w:val="00255B5C"/>
    <w:rsid w:val="00255B8D"/>
    <w:rsid w:val="0025670F"/>
    <w:rsid w:val="0025731F"/>
    <w:rsid w:val="002575D7"/>
    <w:rsid w:val="002575EB"/>
    <w:rsid w:val="00257AFC"/>
    <w:rsid w:val="00257F80"/>
    <w:rsid w:val="00260116"/>
    <w:rsid w:val="00260424"/>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B66"/>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901F4"/>
    <w:rsid w:val="002908D2"/>
    <w:rsid w:val="002913B8"/>
    <w:rsid w:val="002915B7"/>
    <w:rsid w:val="0029183C"/>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367"/>
    <w:rsid w:val="002A3A03"/>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ACB"/>
    <w:rsid w:val="002B7B3E"/>
    <w:rsid w:val="002B7B57"/>
    <w:rsid w:val="002C01E3"/>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6460"/>
    <w:rsid w:val="002C6938"/>
    <w:rsid w:val="002C6AC2"/>
    <w:rsid w:val="002C6E7C"/>
    <w:rsid w:val="002C6EC6"/>
    <w:rsid w:val="002C76E7"/>
    <w:rsid w:val="002C78FB"/>
    <w:rsid w:val="002C7DCD"/>
    <w:rsid w:val="002D071A"/>
    <w:rsid w:val="002D0777"/>
    <w:rsid w:val="002D1D53"/>
    <w:rsid w:val="002D24EE"/>
    <w:rsid w:val="002D2E4F"/>
    <w:rsid w:val="002D3362"/>
    <w:rsid w:val="002D39A1"/>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613"/>
    <w:rsid w:val="002E3C54"/>
    <w:rsid w:val="002E4B4B"/>
    <w:rsid w:val="002E57E5"/>
    <w:rsid w:val="002E5882"/>
    <w:rsid w:val="002E5E13"/>
    <w:rsid w:val="002E6355"/>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1FB4"/>
    <w:rsid w:val="00312591"/>
    <w:rsid w:val="00312B4E"/>
    <w:rsid w:val="00312CBC"/>
    <w:rsid w:val="00313C9C"/>
    <w:rsid w:val="00314118"/>
    <w:rsid w:val="00315294"/>
    <w:rsid w:val="00315554"/>
    <w:rsid w:val="00315629"/>
    <w:rsid w:val="003157EA"/>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62D8"/>
    <w:rsid w:val="00326527"/>
    <w:rsid w:val="00326780"/>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604"/>
    <w:rsid w:val="003418C2"/>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D5F"/>
    <w:rsid w:val="00382FB9"/>
    <w:rsid w:val="00383469"/>
    <w:rsid w:val="003837E4"/>
    <w:rsid w:val="00383A46"/>
    <w:rsid w:val="00384028"/>
    <w:rsid w:val="003842BC"/>
    <w:rsid w:val="00384501"/>
    <w:rsid w:val="003846FC"/>
    <w:rsid w:val="0038471B"/>
    <w:rsid w:val="00384F78"/>
    <w:rsid w:val="00385464"/>
    <w:rsid w:val="003859E9"/>
    <w:rsid w:val="00386013"/>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4EA8"/>
    <w:rsid w:val="00405597"/>
    <w:rsid w:val="004061CC"/>
    <w:rsid w:val="00406346"/>
    <w:rsid w:val="004063AE"/>
    <w:rsid w:val="004065E5"/>
    <w:rsid w:val="00407F7A"/>
    <w:rsid w:val="00410198"/>
    <w:rsid w:val="0041054D"/>
    <w:rsid w:val="0041098D"/>
    <w:rsid w:val="00410ABC"/>
    <w:rsid w:val="00410B0A"/>
    <w:rsid w:val="00410EC9"/>
    <w:rsid w:val="00410F3D"/>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CD"/>
    <w:rsid w:val="00454BDE"/>
    <w:rsid w:val="00454C79"/>
    <w:rsid w:val="00454D5C"/>
    <w:rsid w:val="00456601"/>
    <w:rsid w:val="00456656"/>
    <w:rsid w:val="00456E9B"/>
    <w:rsid w:val="00457955"/>
    <w:rsid w:val="00457FF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2BC"/>
    <w:rsid w:val="00481372"/>
    <w:rsid w:val="004819D9"/>
    <w:rsid w:val="00482067"/>
    <w:rsid w:val="00482559"/>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0A5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83F"/>
    <w:rsid w:val="004B7F4D"/>
    <w:rsid w:val="004C01FE"/>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21E4"/>
    <w:rsid w:val="004D27CA"/>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5B"/>
    <w:rsid w:val="004E6B02"/>
    <w:rsid w:val="004E70A9"/>
    <w:rsid w:val="004E76F5"/>
    <w:rsid w:val="004F0970"/>
    <w:rsid w:val="004F10F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30446"/>
    <w:rsid w:val="0053056F"/>
    <w:rsid w:val="00530791"/>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850"/>
    <w:rsid w:val="00536920"/>
    <w:rsid w:val="00536AC8"/>
    <w:rsid w:val="00537430"/>
    <w:rsid w:val="005374E4"/>
    <w:rsid w:val="00537ECF"/>
    <w:rsid w:val="00540611"/>
    <w:rsid w:val="00541579"/>
    <w:rsid w:val="005419FE"/>
    <w:rsid w:val="005424BE"/>
    <w:rsid w:val="005432C0"/>
    <w:rsid w:val="0054352E"/>
    <w:rsid w:val="0054466D"/>
    <w:rsid w:val="005447C4"/>
    <w:rsid w:val="005452E2"/>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B58"/>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587"/>
    <w:rsid w:val="00575AD3"/>
    <w:rsid w:val="00575BED"/>
    <w:rsid w:val="00575F1E"/>
    <w:rsid w:val="0057609A"/>
    <w:rsid w:val="005761F2"/>
    <w:rsid w:val="00577141"/>
    <w:rsid w:val="00577655"/>
    <w:rsid w:val="00577A8D"/>
    <w:rsid w:val="0058033C"/>
    <w:rsid w:val="005816CE"/>
    <w:rsid w:val="00581A68"/>
    <w:rsid w:val="00581B00"/>
    <w:rsid w:val="005830F1"/>
    <w:rsid w:val="0058339B"/>
    <w:rsid w:val="005836AF"/>
    <w:rsid w:val="00583C9D"/>
    <w:rsid w:val="00583E55"/>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D23"/>
    <w:rsid w:val="00594762"/>
    <w:rsid w:val="00595820"/>
    <w:rsid w:val="00595D9B"/>
    <w:rsid w:val="00596604"/>
    <w:rsid w:val="00596E62"/>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5EE"/>
    <w:rsid w:val="005A684B"/>
    <w:rsid w:val="005A6AB6"/>
    <w:rsid w:val="005A6AD0"/>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FCA"/>
    <w:rsid w:val="005C107E"/>
    <w:rsid w:val="005C1755"/>
    <w:rsid w:val="005C20D4"/>
    <w:rsid w:val="005C2330"/>
    <w:rsid w:val="005C25A5"/>
    <w:rsid w:val="005C25F6"/>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EF2"/>
    <w:rsid w:val="005F32E4"/>
    <w:rsid w:val="005F3B0A"/>
    <w:rsid w:val="005F3D66"/>
    <w:rsid w:val="005F3E41"/>
    <w:rsid w:val="005F3FF1"/>
    <w:rsid w:val="005F4784"/>
    <w:rsid w:val="005F4DAF"/>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85F"/>
    <w:rsid w:val="00606669"/>
    <w:rsid w:val="00606798"/>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7162"/>
    <w:rsid w:val="00617417"/>
    <w:rsid w:val="006177D1"/>
    <w:rsid w:val="00617861"/>
    <w:rsid w:val="006202F7"/>
    <w:rsid w:val="0062093A"/>
    <w:rsid w:val="00621C92"/>
    <w:rsid w:val="0062322C"/>
    <w:rsid w:val="00623C60"/>
    <w:rsid w:val="006240F9"/>
    <w:rsid w:val="006243CF"/>
    <w:rsid w:val="00625183"/>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8CA"/>
    <w:rsid w:val="00640DFF"/>
    <w:rsid w:val="006415C2"/>
    <w:rsid w:val="006418C7"/>
    <w:rsid w:val="0064198C"/>
    <w:rsid w:val="00641BD1"/>
    <w:rsid w:val="00641EEC"/>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B57"/>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A079F"/>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1A12"/>
    <w:rsid w:val="006B1CCC"/>
    <w:rsid w:val="006B1FBC"/>
    <w:rsid w:val="006B2649"/>
    <w:rsid w:val="006B264B"/>
    <w:rsid w:val="006B2E26"/>
    <w:rsid w:val="006B2E89"/>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39C"/>
    <w:rsid w:val="006D25C7"/>
    <w:rsid w:val="006D26CF"/>
    <w:rsid w:val="006D30E3"/>
    <w:rsid w:val="006D31C3"/>
    <w:rsid w:val="006D3893"/>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3162"/>
    <w:rsid w:val="006E3403"/>
    <w:rsid w:val="006E3408"/>
    <w:rsid w:val="006E3838"/>
    <w:rsid w:val="006E399B"/>
    <w:rsid w:val="006E3A57"/>
    <w:rsid w:val="006E3C7B"/>
    <w:rsid w:val="006E4047"/>
    <w:rsid w:val="006E54E1"/>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821"/>
    <w:rsid w:val="006F790F"/>
    <w:rsid w:val="007002D7"/>
    <w:rsid w:val="00700AE9"/>
    <w:rsid w:val="00700D3F"/>
    <w:rsid w:val="00700FC3"/>
    <w:rsid w:val="00701041"/>
    <w:rsid w:val="00701AE6"/>
    <w:rsid w:val="00701E48"/>
    <w:rsid w:val="00702B3D"/>
    <w:rsid w:val="00702B46"/>
    <w:rsid w:val="00702D05"/>
    <w:rsid w:val="00703165"/>
    <w:rsid w:val="0070391A"/>
    <w:rsid w:val="00703C33"/>
    <w:rsid w:val="0070447D"/>
    <w:rsid w:val="00704900"/>
    <w:rsid w:val="00704BDA"/>
    <w:rsid w:val="00704DB3"/>
    <w:rsid w:val="007051E7"/>
    <w:rsid w:val="0070533D"/>
    <w:rsid w:val="0070592B"/>
    <w:rsid w:val="007064B7"/>
    <w:rsid w:val="00706532"/>
    <w:rsid w:val="0070696A"/>
    <w:rsid w:val="00706BEE"/>
    <w:rsid w:val="007070F5"/>
    <w:rsid w:val="007071A1"/>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60A"/>
    <w:rsid w:val="00716909"/>
    <w:rsid w:val="00716B79"/>
    <w:rsid w:val="00717BD1"/>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54C5"/>
    <w:rsid w:val="007266F2"/>
    <w:rsid w:val="0072693B"/>
    <w:rsid w:val="00726CE6"/>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65A"/>
    <w:rsid w:val="00765B99"/>
    <w:rsid w:val="00766479"/>
    <w:rsid w:val="00766A2B"/>
    <w:rsid w:val="00766BA9"/>
    <w:rsid w:val="00766E6B"/>
    <w:rsid w:val="00766ED9"/>
    <w:rsid w:val="007670F0"/>
    <w:rsid w:val="007675B3"/>
    <w:rsid w:val="00770C60"/>
    <w:rsid w:val="00770E65"/>
    <w:rsid w:val="00770E78"/>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D23"/>
    <w:rsid w:val="007C2FEB"/>
    <w:rsid w:val="007C3356"/>
    <w:rsid w:val="007C3433"/>
    <w:rsid w:val="007C3921"/>
    <w:rsid w:val="007C3E71"/>
    <w:rsid w:val="007C425A"/>
    <w:rsid w:val="007C438E"/>
    <w:rsid w:val="007C455F"/>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BDD"/>
    <w:rsid w:val="00802C2D"/>
    <w:rsid w:val="00802FB9"/>
    <w:rsid w:val="008030A2"/>
    <w:rsid w:val="008046A1"/>
    <w:rsid w:val="0080477B"/>
    <w:rsid w:val="00804A2A"/>
    <w:rsid w:val="00804EC6"/>
    <w:rsid w:val="00804F40"/>
    <w:rsid w:val="00805355"/>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5352"/>
    <w:rsid w:val="00835C6A"/>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FAC"/>
    <w:rsid w:val="0084720C"/>
    <w:rsid w:val="00847930"/>
    <w:rsid w:val="00847BE2"/>
    <w:rsid w:val="00847DEC"/>
    <w:rsid w:val="00850037"/>
    <w:rsid w:val="0085075B"/>
    <w:rsid w:val="00850FF1"/>
    <w:rsid w:val="00851882"/>
    <w:rsid w:val="00851F14"/>
    <w:rsid w:val="0085231D"/>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C60"/>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A7490"/>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CFC"/>
    <w:rsid w:val="00906206"/>
    <w:rsid w:val="00906E43"/>
    <w:rsid w:val="0091014E"/>
    <w:rsid w:val="009112E8"/>
    <w:rsid w:val="0091172E"/>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33"/>
    <w:rsid w:val="009479AB"/>
    <w:rsid w:val="009501C1"/>
    <w:rsid w:val="00950ABD"/>
    <w:rsid w:val="00950D30"/>
    <w:rsid w:val="00951E66"/>
    <w:rsid w:val="0095234C"/>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FB2"/>
    <w:rsid w:val="009621D7"/>
    <w:rsid w:val="0096284C"/>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AAC"/>
    <w:rsid w:val="009A4AB6"/>
    <w:rsid w:val="009A4F96"/>
    <w:rsid w:val="009A5201"/>
    <w:rsid w:val="009A5AC6"/>
    <w:rsid w:val="009A60BB"/>
    <w:rsid w:val="009A6AB4"/>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47C4"/>
    <w:rsid w:val="009D4B11"/>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82F"/>
    <w:rsid w:val="009F2B9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6789"/>
    <w:rsid w:val="009F6D75"/>
    <w:rsid w:val="009F71DE"/>
    <w:rsid w:val="009F77F9"/>
    <w:rsid w:val="009F795D"/>
    <w:rsid w:val="009F7D42"/>
    <w:rsid w:val="009F7DD2"/>
    <w:rsid w:val="00A00133"/>
    <w:rsid w:val="00A0066E"/>
    <w:rsid w:val="00A01457"/>
    <w:rsid w:val="00A0158E"/>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A06"/>
    <w:rsid w:val="00A10F8F"/>
    <w:rsid w:val="00A111EE"/>
    <w:rsid w:val="00A115AE"/>
    <w:rsid w:val="00A117F6"/>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3B8"/>
    <w:rsid w:val="00A16C22"/>
    <w:rsid w:val="00A16D69"/>
    <w:rsid w:val="00A17682"/>
    <w:rsid w:val="00A17B89"/>
    <w:rsid w:val="00A20760"/>
    <w:rsid w:val="00A20832"/>
    <w:rsid w:val="00A20F0F"/>
    <w:rsid w:val="00A20FBB"/>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8CD"/>
    <w:rsid w:val="00A413CA"/>
    <w:rsid w:val="00A41695"/>
    <w:rsid w:val="00A42B59"/>
    <w:rsid w:val="00A42C7F"/>
    <w:rsid w:val="00A42C99"/>
    <w:rsid w:val="00A4362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E2F"/>
    <w:rsid w:val="00A53FAE"/>
    <w:rsid w:val="00A54416"/>
    <w:rsid w:val="00A54851"/>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565"/>
    <w:rsid w:val="00A81A25"/>
    <w:rsid w:val="00A81AAF"/>
    <w:rsid w:val="00A81E22"/>
    <w:rsid w:val="00A81F40"/>
    <w:rsid w:val="00A826CB"/>
    <w:rsid w:val="00A8280A"/>
    <w:rsid w:val="00A829FA"/>
    <w:rsid w:val="00A82F2C"/>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46"/>
    <w:rsid w:val="00A9099E"/>
    <w:rsid w:val="00A90B61"/>
    <w:rsid w:val="00A910F5"/>
    <w:rsid w:val="00A923E1"/>
    <w:rsid w:val="00A92489"/>
    <w:rsid w:val="00A929FE"/>
    <w:rsid w:val="00A92AAF"/>
    <w:rsid w:val="00A92E0A"/>
    <w:rsid w:val="00A9304C"/>
    <w:rsid w:val="00A9447D"/>
    <w:rsid w:val="00A94B97"/>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7E7"/>
    <w:rsid w:val="00AA5C4A"/>
    <w:rsid w:val="00AA5DC7"/>
    <w:rsid w:val="00AA6288"/>
    <w:rsid w:val="00AA62B0"/>
    <w:rsid w:val="00AA62E6"/>
    <w:rsid w:val="00AA674B"/>
    <w:rsid w:val="00AA6840"/>
    <w:rsid w:val="00AA75D5"/>
    <w:rsid w:val="00AA78D5"/>
    <w:rsid w:val="00AA7CE3"/>
    <w:rsid w:val="00AA7F08"/>
    <w:rsid w:val="00AB0051"/>
    <w:rsid w:val="00AB0900"/>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50A"/>
    <w:rsid w:val="00AE0713"/>
    <w:rsid w:val="00AE075C"/>
    <w:rsid w:val="00AE0882"/>
    <w:rsid w:val="00AE0DD0"/>
    <w:rsid w:val="00AE0FC9"/>
    <w:rsid w:val="00AE102C"/>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F34"/>
    <w:rsid w:val="00AE7FC6"/>
    <w:rsid w:val="00AF00D6"/>
    <w:rsid w:val="00AF0535"/>
    <w:rsid w:val="00AF081A"/>
    <w:rsid w:val="00AF0854"/>
    <w:rsid w:val="00AF08EB"/>
    <w:rsid w:val="00AF0927"/>
    <w:rsid w:val="00AF0A90"/>
    <w:rsid w:val="00AF0C82"/>
    <w:rsid w:val="00AF0F89"/>
    <w:rsid w:val="00AF10D9"/>
    <w:rsid w:val="00AF218F"/>
    <w:rsid w:val="00AF2D05"/>
    <w:rsid w:val="00AF3579"/>
    <w:rsid w:val="00AF4255"/>
    <w:rsid w:val="00AF4FB6"/>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7DC"/>
    <w:rsid w:val="00B029D8"/>
    <w:rsid w:val="00B02AE0"/>
    <w:rsid w:val="00B02FC1"/>
    <w:rsid w:val="00B03C3F"/>
    <w:rsid w:val="00B04A98"/>
    <w:rsid w:val="00B04ED1"/>
    <w:rsid w:val="00B04F72"/>
    <w:rsid w:val="00B05792"/>
    <w:rsid w:val="00B060FC"/>
    <w:rsid w:val="00B061BA"/>
    <w:rsid w:val="00B06282"/>
    <w:rsid w:val="00B0658C"/>
    <w:rsid w:val="00B06C77"/>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6162"/>
    <w:rsid w:val="00B1640F"/>
    <w:rsid w:val="00B16551"/>
    <w:rsid w:val="00B1655E"/>
    <w:rsid w:val="00B167D7"/>
    <w:rsid w:val="00B16943"/>
    <w:rsid w:val="00B169B1"/>
    <w:rsid w:val="00B16AF2"/>
    <w:rsid w:val="00B16DBA"/>
    <w:rsid w:val="00B16EEF"/>
    <w:rsid w:val="00B1716A"/>
    <w:rsid w:val="00B17D5B"/>
    <w:rsid w:val="00B20897"/>
    <w:rsid w:val="00B20FDD"/>
    <w:rsid w:val="00B21479"/>
    <w:rsid w:val="00B21489"/>
    <w:rsid w:val="00B21657"/>
    <w:rsid w:val="00B21AF5"/>
    <w:rsid w:val="00B2212C"/>
    <w:rsid w:val="00B22177"/>
    <w:rsid w:val="00B224D9"/>
    <w:rsid w:val="00B22737"/>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721"/>
    <w:rsid w:val="00B31897"/>
    <w:rsid w:val="00B320BE"/>
    <w:rsid w:val="00B3210A"/>
    <w:rsid w:val="00B3264E"/>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3516"/>
    <w:rsid w:val="00B43EC2"/>
    <w:rsid w:val="00B444DF"/>
    <w:rsid w:val="00B45243"/>
    <w:rsid w:val="00B45524"/>
    <w:rsid w:val="00B4580D"/>
    <w:rsid w:val="00B458DE"/>
    <w:rsid w:val="00B46434"/>
    <w:rsid w:val="00B4656D"/>
    <w:rsid w:val="00B465A7"/>
    <w:rsid w:val="00B466DE"/>
    <w:rsid w:val="00B46708"/>
    <w:rsid w:val="00B46D69"/>
    <w:rsid w:val="00B470EF"/>
    <w:rsid w:val="00B47380"/>
    <w:rsid w:val="00B47509"/>
    <w:rsid w:val="00B50913"/>
    <w:rsid w:val="00B50FE9"/>
    <w:rsid w:val="00B512DB"/>
    <w:rsid w:val="00B51E55"/>
    <w:rsid w:val="00B51FC3"/>
    <w:rsid w:val="00B52DD7"/>
    <w:rsid w:val="00B52F1B"/>
    <w:rsid w:val="00B52FFE"/>
    <w:rsid w:val="00B5300A"/>
    <w:rsid w:val="00B5304C"/>
    <w:rsid w:val="00B54CAE"/>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1353"/>
    <w:rsid w:val="00B715AE"/>
    <w:rsid w:val="00B722B4"/>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DDC"/>
    <w:rsid w:val="00B9234B"/>
    <w:rsid w:val="00B925D4"/>
    <w:rsid w:val="00B92738"/>
    <w:rsid w:val="00B92825"/>
    <w:rsid w:val="00B928E2"/>
    <w:rsid w:val="00B931F3"/>
    <w:rsid w:val="00B93D50"/>
    <w:rsid w:val="00B94204"/>
    <w:rsid w:val="00B9429D"/>
    <w:rsid w:val="00B94B7B"/>
    <w:rsid w:val="00B94FF6"/>
    <w:rsid w:val="00B9553C"/>
    <w:rsid w:val="00B95675"/>
    <w:rsid w:val="00B958D8"/>
    <w:rsid w:val="00B95D32"/>
    <w:rsid w:val="00B95E0B"/>
    <w:rsid w:val="00B95F64"/>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B69"/>
    <w:rsid w:val="00BF3052"/>
    <w:rsid w:val="00BF3CEF"/>
    <w:rsid w:val="00BF3DD1"/>
    <w:rsid w:val="00BF478D"/>
    <w:rsid w:val="00BF4A2C"/>
    <w:rsid w:val="00BF4E9A"/>
    <w:rsid w:val="00BF4ECA"/>
    <w:rsid w:val="00BF681C"/>
    <w:rsid w:val="00BF68BE"/>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A1B"/>
    <w:rsid w:val="00C10168"/>
    <w:rsid w:val="00C10546"/>
    <w:rsid w:val="00C105C4"/>
    <w:rsid w:val="00C1074A"/>
    <w:rsid w:val="00C10BB2"/>
    <w:rsid w:val="00C11006"/>
    <w:rsid w:val="00C1179C"/>
    <w:rsid w:val="00C119CA"/>
    <w:rsid w:val="00C11DEB"/>
    <w:rsid w:val="00C12768"/>
    <w:rsid w:val="00C127B9"/>
    <w:rsid w:val="00C127DA"/>
    <w:rsid w:val="00C12ED3"/>
    <w:rsid w:val="00C137A0"/>
    <w:rsid w:val="00C13B9C"/>
    <w:rsid w:val="00C15E92"/>
    <w:rsid w:val="00C16689"/>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D24"/>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5BCC"/>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844"/>
    <w:rsid w:val="00C95AB0"/>
    <w:rsid w:val="00C95C24"/>
    <w:rsid w:val="00C96005"/>
    <w:rsid w:val="00C9678B"/>
    <w:rsid w:val="00C96EC1"/>
    <w:rsid w:val="00C9779D"/>
    <w:rsid w:val="00C978AB"/>
    <w:rsid w:val="00C97B36"/>
    <w:rsid w:val="00C97C37"/>
    <w:rsid w:val="00CA07A8"/>
    <w:rsid w:val="00CA1A4B"/>
    <w:rsid w:val="00CA2753"/>
    <w:rsid w:val="00CA2BD8"/>
    <w:rsid w:val="00CA2C40"/>
    <w:rsid w:val="00CA2C91"/>
    <w:rsid w:val="00CA2CDD"/>
    <w:rsid w:val="00CA2EC3"/>
    <w:rsid w:val="00CA39C1"/>
    <w:rsid w:val="00CA3CF7"/>
    <w:rsid w:val="00CA4417"/>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76D"/>
    <w:rsid w:val="00CC0AC6"/>
    <w:rsid w:val="00CC0DE9"/>
    <w:rsid w:val="00CC16E1"/>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7E5"/>
    <w:rsid w:val="00D019D1"/>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179"/>
    <w:rsid w:val="00D1428B"/>
    <w:rsid w:val="00D144B1"/>
    <w:rsid w:val="00D14FBC"/>
    <w:rsid w:val="00D154C1"/>
    <w:rsid w:val="00D161DD"/>
    <w:rsid w:val="00D16EA1"/>
    <w:rsid w:val="00D174AA"/>
    <w:rsid w:val="00D175BA"/>
    <w:rsid w:val="00D176E9"/>
    <w:rsid w:val="00D17D95"/>
    <w:rsid w:val="00D200DC"/>
    <w:rsid w:val="00D206BA"/>
    <w:rsid w:val="00D209E5"/>
    <w:rsid w:val="00D20F2D"/>
    <w:rsid w:val="00D214BF"/>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85D"/>
    <w:rsid w:val="00D30A1E"/>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3039"/>
    <w:rsid w:val="00D431DC"/>
    <w:rsid w:val="00D4328B"/>
    <w:rsid w:val="00D43CFB"/>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556"/>
    <w:rsid w:val="00D63FD8"/>
    <w:rsid w:val="00D6487E"/>
    <w:rsid w:val="00D651CA"/>
    <w:rsid w:val="00D65443"/>
    <w:rsid w:val="00D654ED"/>
    <w:rsid w:val="00D665E5"/>
    <w:rsid w:val="00D666A6"/>
    <w:rsid w:val="00D67523"/>
    <w:rsid w:val="00D677A6"/>
    <w:rsid w:val="00D677FE"/>
    <w:rsid w:val="00D6782A"/>
    <w:rsid w:val="00D701A1"/>
    <w:rsid w:val="00D70917"/>
    <w:rsid w:val="00D70991"/>
    <w:rsid w:val="00D70DA8"/>
    <w:rsid w:val="00D70DE6"/>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A0C"/>
    <w:rsid w:val="00D82E70"/>
    <w:rsid w:val="00D83D14"/>
    <w:rsid w:val="00D841AD"/>
    <w:rsid w:val="00D84F5D"/>
    <w:rsid w:val="00D85402"/>
    <w:rsid w:val="00D866D2"/>
    <w:rsid w:val="00D8701C"/>
    <w:rsid w:val="00D879BD"/>
    <w:rsid w:val="00D87CCD"/>
    <w:rsid w:val="00D87E93"/>
    <w:rsid w:val="00D91247"/>
    <w:rsid w:val="00D91A12"/>
    <w:rsid w:val="00D91A1D"/>
    <w:rsid w:val="00D91B23"/>
    <w:rsid w:val="00D91F03"/>
    <w:rsid w:val="00D92767"/>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97DA5"/>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319"/>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7D8"/>
    <w:rsid w:val="00DD0023"/>
    <w:rsid w:val="00DD0712"/>
    <w:rsid w:val="00DD0CE1"/>
    <w:rsid w:val="00DD0EEE"/>
    <w:rsid w:val="00DD11F4"/>
    <w:rsid w:val="00DD16EF"/>
    <w:rsid w:val="00DD1CD6"/>
    <w:rsid w:val="00DD1EAE"/>
    <w:rsid w:val="00DD2202"/>
    <w:rsid w:val="00DD23BF"/>
    <w:rsid w:val="00DD258E"/>
    <w:rsid w:val="00DD29BD"/>
    <w:rsid w:val="00DD2C06"/>
    <w:rsid w:val="00DD2E9F"/>
    <w:rsid w:val="00DD3168"/>
    <w:rsid w:val="00DD3255"/>
    <w:rsid w:val="00DD393B"/>
    <w:rsid w:val="00DD39C7"/>
    <w:rsid w:val="00DD3B98"/>
    <w:rsid w:val="00DD3E3E"/>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65E"/>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C47"/>
    <w:rsid w:val="00E52F5E"/>
    <w:rsid w:val="00E532A6"/>
    <w:rsid w:val="00E534C6"/>
    <w:rsid w:val="00E5411F"/>
    <w:rsid w:val="00E54240"/>
    <w:rsid w:val="00E5454B"/>
    <w:rsid w:val="00E54643"/>
    <w:rsid w:val="00E547ED"/>
    <w:rsid w:val="00E54D2E"/>
    <w:rsid w:val="00E54EB1"/>
    <w:rsid w:val="00E5550E"/>
    <w:rsid w:val="00E55537"/>
    <w:rsid w:val="00E55791"/>
    <w:rsid w:val="00E55B05"/>
    <w:rsid w:val="00E55C34"/>
    <w:rsid w:val="00E56B62"/>
    <w:rsid w:val="00E56EF6"/>
    <w:rsid w:val="00E56F1B"/>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B3F"/>
    <w:rsid w:val="00E63C25"/>
    <w:rsid w:val="00E63E30"/>
    <w:rsid w:val="00E63F75"/>
    <w:rsid w:val="00E64F5A"/>
    <w:rsid w:val="00E653E6"/>
    <w:rsid w:val="00E66DA8"/>
    <w:rsid w:val="00E66DB7"/>
    <w:rsid w:val="00E66F50"/>
    <w:rsid w:val="00E671BB"/>
    <w:rsid w:val="00E674B6"/>
    <w:rsid w:val="00E6798B"/>
    <w:rsid w:val="00E67AAF"/>
    <w:rsid w:val="00E67C87"/>
    <w:rsid w:val="00E7029D"/>
    <w:rsid w:val="00E7135A"/>
    <w:rsid w:val="00E72157"/>
    <w:rsid w:val="00E7243E"/>
    <w:rsid w:val="00E7257C"/>
    <w:rsid w:val="00E73464"/>
    <w:rsid w:val="00E73666"/>
    <w:rsid w:val="00E73F41"/>
    <w:rsid w:val="00E74147"/>
    <w:rsid w:val="00E74DAD"/>
    <w:rsid w:val="00E75179"/>
    <w:rsid w:val="00E75441"/>
    <w:rsid w:val="00E75784"/>
    <w:rsid w:val="00E75788"/>
    <w:rsid w:val="00E75931"/>
    <w:rsid w:val="00E7598F"/>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39A"/>
    <w:rsid w:val="00E86FD3"/>
    <w:rsid w:val="00E873CC"/>
    <w:rsid w:val="00E875CE"/>
    <w:rsid w:val="00E875EE"/>
    <w:rsid w:val="00E876F8"/>
    <w:rsid w:val="00E8784B"/>
    <w:rsid w:val="00E87B44"/>
    <w:rsid w:val="00E87D7D"/>
    <w:rsid w:val="00E90341"/>
    <w:rsid w:val="00E9034B"/>
    <w:rsid w:val="00E909A1"/>
    <w:rsid w:val="00E90E4D"/>
    <w:rsid w:val="00E91866"/>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A48"/>
    <w:rsid w:val="00EA0DE7"/>
    <w:rsid w:val="00EA10FB"/>
    <w:rsid w:val="00EA110F"/>
    <w:rsid w:val="00EA1404"/>
    <w:rsid w:val="00EA14DB"/>
    <w:rsid w:val="00EA18DA"/>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2FF5"/>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3A90"/>
    <w:rsid w:val="00EE3E12"/>
    <w:rsid w:val="00EE3FD8"/>
    <w:rsid w:val="00EE40D3"/>
    <w:rsid w:val="00EE40F7"/>
    <w:rsid w:val="00EE49F2"/>
    <w:rsid w:val="00EE4E52"/>
    <w:rsid w:val="00EE57BF"/>
    <w:rsid w:val="00EE6A94"/>
    <w:rsid w:val="00EE6DA0"/>
    <w:rsid w:val="00EE6DBE"/>
    <w:rsid w:val="00EE6EAA"/>
    <w:rsid w:val="00EE716D"/>
    <w:rsid w:val="00EE7231"/>
    <w:rsid w:val="00EE7666"/>
    <w:rsid w:val="00EF0454"/>
    <w:rsid w:val="00EF1B70"/>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40341"/>
    <w:rsid w:val="00F406E3"/>
    <w:rsid w:val="00F40F33"/>
    <w:rsid w:val="00F4173D"/>
    <w:rsid w:val="00F41FAC"/>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67"/>
    <w:rsid w:val="00F64CE8"/>
    <w:rsid w:val="00F65A6C"/>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3ED"/>
    <w:rsid w:val="00F735FD"/>
    <w:rsid w:val="00F73956"/>
    <w:rsid w:val="00F73BD3"/>
    <w:rsid w:val="00F74B3A"/>
    <w:rsid w:val="00F7579F"/>
    <w:rsid w:val="00F75910"/>
    <w:rsid w:val="00F768F2"/>
    <w:rsid w:val="00F76F71"/>
    <w:rsid w:val="00F77234"/>
    <w:rsid w:val="00F774C2"/>
    <w:rsid w:val="00F777BA"/>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1C27"/>
    <w:rsid w:val="00F921F2"/>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E4E"/>
    <w:rsid w:val="00FB00B9"/>
    <w:rsid w:val="00FB0211"/>
    <w:rsid w:val="00FB05A4"/>
    <w:rsid w:val="00FB05BB"/>
    <w:rsid w:val="00FB062D"/>
    <w:rsid w:val="00FB066E"/>
    <w:rsid w:val="00FB0E0B"/>
    <w:rsid w:val="00FB108E"/>
    <w:rsid w:val="00FB2358"/>
    <w:rsid w:val="00FB349A"/>
    <w:rsid w:val="00FB3A2B"/>
    <w:rsid w:val="00FB3BC4"/>
    <w:rsid w:val="00FB3F04"/>
    <w:rsid w:val="00FB412A"/>
    <w:rsid w:val="00FB4360"/>
    <w:rsid w:val="00FB50C8"/>
    <w:rsid w:val="00FB5401"/>
    <w:rsid w:val="00FB5B03"/>
    <w:rsid w:val="00FB5BD9"/>
    <w:rsid w:val="00FB6088"/>
    <w:rsid w:val="00FB60CA"/>
    <w:rsid w:val="00FB6185"/>
    <w:rsid w:val="00FB6675"/>
    <w:rsid w:val="00FB6A47"/>
    <w:rsid w:val="00FB6FF4"/>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63F9"/>
    <w:rsid w:val="00FD65C6"/>
    <w:rsid w:val="00FD69E7"/>
    <w:rsid w:val="00FD6FDE"/>
    <w:rsid w:val="00FD72F3"/>
    <w:rsid w:val="00FD760B"/>
    <w:rsid w:val="00FD7F4D"/>
    <w:rsid w:val="00FE11A1"/>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50D"/>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tabs>
        <w:tab w:val="clear" w:pos="1926"/>
        <w:tab w:val="num" w:pos="576"/>
      </w:tabs>
      <w:spacing w:before="100" w:beforeAutospacing="1" w:afterLines="100" w:after="100"/>
      <w:ind w:left="576"/>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B20897"/>
    <w:pPr>
      <w:numPr>
        <w:numId w:val="23"/>
      </w:numPr>
      <w:tabs>
        <w:tab w:val="clear" w:pos="1644"/>
        <w:tab w:val="left" w:pos="1134"/>
        <w:tab w:val="num" w:pos="1191"/>
      </w:tabs>
      <w:ind w:left="1191" w:hanging="454"/>
    </w:pPr>
    <w:rPr>
      <w:rFonts w:eastAsia="MS Mincho"/>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tabs>
        <w:tab w:val="clear" w:pos="1926"/>
        <w:tab w:val="num" w:pos="576"/>
      </w:tabs>
      <w:spacing w:before="100" w:beforeAutospacing="1" w:afterLines="100" w:after="100"/>
      <w:ind w:left="576"/>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B20897"/>
    <w:pPr>
      <w:numPr>
        <w:numId w:val="23"/>
      </w:numPr>
      <w:tabs>
        <w:tab w:val="clear" w:pos="1644"/>
        <w:tab w:val="left" w:pos="1134"/>
        <w:tab w:val="num" w:pos="1191"/>
      </w:tabs>
      <w:ind w:left="1191" w:hanging="454"/>
    </w:pPr>
    <w:rPr>
      <w:rFonts w:eastAsia="MS Mincho"/>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0566209">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599415188">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77019727">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6949592">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043061">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C98012-9DC4-40B7-8CC4-9361EE7BC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TotalTime>
  <Pages>3</Pages>
  <Words>1114</Words>
  <Characters>6355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7455</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4</cp:revision>
  <cp:lastPrinted>2010-01-07T15:23:00Z</cp:lastPrinted>
  <dcterms:created xsi:type="dcterms:W3CDTF">2021-08-05T21:10:00Z</dcterms:created>
  <dcterms:modified xsi:type="dcterms:W3CDTF">2021-08-05T21:41:00Z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